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D7" w:rsidRDefault="000B0A8F" w:rsidP="009B1104">
      <w:pPr>
        <w:pStyle w:val="Bodytext20"/>
        <w:shd w:val="clear" w:color="auto" w:fill="auto"/>
        <w:spacing w:after="120" w:line="240" w:lineRule="auto"/>
        <w:ind w:firstLine="284"/>
      </w:pPr>
      <w:r>
        <w:object w:dxaOrig="1095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81.5pt;height:132.75pt" o:ole="">
            <v:imagedata r:id="rId8" o:title=""/>
          </v:shape>
          <o:OLEObject Type="Embed" ProgID="Visio.Drawing.15" ShapeID="_x0000_i1036" DrawAspect="Content" ObjectID="_1749901759" r:id="rId9"/>
        </w:object>
      </w:r>
    </w:p>
    <w:p w:rsidR="00F40CD7" w:rsidRDefault="00F40CD7" w:rsidP="00F40CD7">
      <w:pPr>
        <w:pStyle w:val="Bodytext20"/>
        <w:shd w:val="clear" w:color="auto" w:fill="auto"/>
        <w:spacing w:after="120" w:line="240" w:lineRule="auto"/>
        <w:ind w:firstLine="284"/>
        <w:jc w:val="left"/>
      </w:pPr>
    </w:p>
    <w:p w:rsidR="00F40CD7" w:rsidRDefault="00F40CD7" w:rsidP="00F40CD7">
      <w:pPr>
        <w:pStyle w:val="Bodytext20"/>
        <w:shd w:val="clear" w:color="auto" w:fill="auto"/>
        <w:spacing w:after="120" w:line="240" w:lineRule="auto"/>
        <w:ind w:firstLine="284"/>
        <w:jc w:val="left"/>
      </w:pPr>
    </w:p>
    <w:p w:rsidR="00F40CD7" w:rsidRDefault="00125776" w:rsidP="00125776">
      <w:pPr>
        <w:pStyle w:val="Bodytext20"/>
        <w:shd w:val="clear" w:color="auto" w:fill="auto"/>
        <w:spacing w:after="120" w:line="240" w:lineRule="auto"/>
        <w:ind w:firstLine="284"/>
      </w:pPr>
      <w:r>
        <w:t>ANTALYA BİLİM ÜNİVERSİTESİ</w:t>
      </w:r>
    </w:p>
    <w:p w:rsidR="00125776" w:rsidRDefault="00C7449B" w:rsidP="00125776">
      <w:pPr>
        <w:pStyle w:val="Bodytext20"/>
        <w:shd w:val="clear" w:color="auto" w:fill="auto"/>
        <w:spacing w:after="120" w:line="240" w:lineRule="auto"/>
        <w:ind w:firstLine="284"/>
      </w:pPr>
      <w:r>
        <w:t xml:space="preserve">TOPLUMSAL KATKI </w:t>
      </w:r>
      <w:r w:rsidR="00125776">
        <w:t>KOMİSYONU YÖNERGESİ</w:t>
      </w:r>
    </w:p>
    <w:p w:rsidR="00125776" w:rsidRDefault="00125776" w:rsidP="00125776">
      <w:pPr>
        <w:pStyle w:val="Bodytext20"/>
        <w:shd w:val="clear" w:color="auto" w:fill="auto"/>
        <w:spacing w:after="120" w:line="240" w:lineRule="auto"/>
        <w:ind w:firstLine="284"/>
        <w:jc w:val="left"/>
      </w:pPr>
    </w:p>
    <w:p w:rsidR="00125776" w:rsidRDefault="00125776" w:rsidP="00125776">
      <w:pPr>
        <w:pStyle w:val="Bodytext20"/>
        <w:shd w:val="clear" w:color="auto" w:fill="auto"/>
        <w:spacing w:after="120" w:line="240" w:lineRule="auto"/>
        <w:ind w:firstLine="284"/>
        <w:jc w:val="left"/>
      </w:pPr>
    </w:p>
    <w:p w:rsidR="00125776" w:rsidRDefault="00125776" w:rsidP="00125776">
      <w:pPr>
        <w:pStyle w:val="Bodytext20"/>
        <w:shd w:val="clear" w:color="auto" w:fill="auto"/>
        <w:spacing w:after="120" w:line="240" w:lineRule="auto"/>
        <w:ind w:firstLine="284"/>
      </w:pPr>
      <w:r w:rsidRPr="00125776">
        <w:t>BİRİNCİ BÖLÜM</w:t>
      </w:r>
      <w:bookmarkStart w:id="0" w:name="_GoBack"/>
      <w:bookmarkEnd w:id="0"/>
    </w:p>
    <w:p w:rsidR="00125776" w:rsidRDefault="00125776" w:rsidP="00125776">
      <w:pPr>
        <w:pStyle w:val="Bodytext20"/>
        <w:shd w:val="clear" w:color="auto" w:fill="auto"/>
        <w:spacing w:after="120" w:line="240" w:lineRule="auto"/>
        <w:ind w:firstLine="284"/>
        <w:jc w:val="left"/>
      </w:pPr>
      <w:r w:rsidRPr="00125776">
        <w:t xml:space="preserve">Amaç, Kapsam, Dayanak ve Tanımlar </w:t>
      </w:r>
    </w:p>
    <w:p w:rsidR="00125776" w:rsidRDefault="00125776" w:rsidP="00125776">
      <w:pPr>
        <w:pStyle w:val="Bodytext20"/>
        <w:shd w:val="clear" w:color="auto" w:fill="auto"/>
        <w:spacing w:after="120" w:line="240" w:lineRule="auto"/>
        <w:ind w:firstLine="284"/>
        <w:jc w:val="left"/>
      </w:pPr>
      <w:r w:rsidRPr="00125776">
        <w:t xml:space="preserve">Amaç </w:t>
      </w:r>
    </w:p>
    <w:p w:rsidR="00125776" w:rsidRDefault="00125776" w:rsidP="0001742D">
      <w:pPr>
        <w:pStyle w:val="Bodytext20"/>
        <w:shd w:val="clear" w:color="auto" w:fill="auto"/>
        <w:spacing w:after="120" w:line="360" w:lineRule="auto"/>
        <w:ind w:firstLine="284"/>
        <w:jc w:val="left"/>
        <w:rPr>
          <w:b w:val="0"/>
        </w:rPr>
      </w:pPr>
      <w:r w:rsidRPr="00125776">
        <w:t>MADDE 1 – (1</w:t>
      </w:r>
      <w:r>
        <w:t xml:space="preserve">) </w:t>
      </w:r>
      <w:r w:rsidRPr="00125776">
        <w:rPr>
          <w:b w:val="0"/>
        </w:rPr>
        <w:t>Bu Yönergenin amacı, Antalya Bilim Üniversitesi</w:t>
      </w:r>
      <w:r w:rsidR="000E1B21">
        <w:rPr>
          <w:b w:val="0"/>
        </w:rPr>
        <w:t xml:space="preserve"> </w:t>
      </w:r>
      <w:r w:rsidR="00C7449B">
        <w:rPr>
          <w:b w:val="0"/>
        </w:rPr>
        <w:t>Toplumsal Katkı</w:t>
      </w:r>
      <w:r>
        <w:rPr>
          <w:b w:val="0"/>
        </w:rPr>
        <w:t xml:space="preserve"> Komisyonu</w:t>
      </w:r>
      <w:r w:rsidR="00F05081">
        <w:rPr>
          <w:b w:val="0"/>
        </w:rPr>
        <w:t xml:space="preserve">nun yapısı ile </w:t>
      </w:r>
      <w:r w:rsidRPr="00125776">
        <w:rPr>
          <w:b w:val="0"/>
        </w:rPr>
        <w:t>çalışma usul ve esaslarını belirlemektir.</w:t>
      </w:r>
    </w:p>
    <w:p w:rsidR="00125776" w:rsidRPr="00125776" w:rsidRDefault="00125776" w:rsidP="00125776">
      <w:pPr>
        <w:pStyle w:val="Bodytext20"/>
        <w:shd w:val="clear" w:color="auto" w:fill="auto"/>
        <w:spacing w:after="120" w:line="240" w:lineRule="auto"/>
        <w:ind w:firstLine="284"/>
        <w:jc w:val="left"/>
      </w:pPr>
      <w:r w:rsidRPr="00125776">
        <w:t>Kapsam</w:t>
      </w:r>
    </w:p>
    <w:p w:rsidR="00C7449B" w:rsidRPr="00C7449B" w:rsidRDefault="00125776" w:rsidP="00C7449B">
      <w:pPr>
        <w:pStyle w:val="Bodytext20"/>
        <w:spacing w:after="120"/>
        <w:ind w:firstLine="284"/>
        <w:jc w:val="left"/>
        <w:rPr>
          <w:b w:val="0"/>
        </w:rPr>
      </w:pPr>
      <w:r w:rsidRPr="00554269">
        <w:t>MADDE 2- (1)</w:t>
      </w:r>
      <w:r w:rsidR="00C7449B" w:rsidRPr="00C7449B">
        <w:rPr>
          <w:rFonts w:asciiTheme="minorHAnsi" w:eastAsiaTheme="minorEastAsia" w:hAnsi="Trebuchet MS" w:cstheme="minorBidi"/>
          <w:color w:val="000000" w:themeColor="text1"/>
          <w:kern w:val="24"/>
          <w:sz w:val="56"/>
          <w:szCs w:val="56"/>
        </w:rPr>
        <w:t xml:space="preserve"> </w:t>
      </w:r>
      <w:r w:rsidR="00F05081">
        <w:rPr>
          <w:b w:val="0"/>
        </w:rPr>
        <w:t>Üniversite</w:t>
      </w:r>
      <w:r w:rsidR="00C7449B" w:rsidRPr="00C7449B">
        <w:rPr>
          <w:b w:val="0"/>
        </w:rPr>
        <w:t>nin vizyonu, misyonu ve politikasına uygun olarak toplumsal katkı potansiy</w:t>
      </w:r>
      <w:r w:rsidR="00427CDD">
        <w:rPr>
          <w:b w:val="0"/>
        </w:rPr>
        <w:t xml:space="preserve">elinin daha etkin kullanılması, </w:t>
      </w:r>
      <w:r w:rsidR="00C7449B" w:rsidRPr="00C7449B">
        <w:rPr>
          <w:b w:val="0"/>
        </w:rPr>
        <w:t xml:space="preserve">nitelikli, toplumun değişik katmanlarına fayda sağlayan etkinliklerin ve projelerin </w:t>
      </w:r>
      <w:r w:rsidR="00F05081">
        <w:rPr>
          <w:b w:val="0"/>
        </w:rPr>
        <w:t>gerçekleştirilmesi</w:t>
      </w:r>
      <w:r w:rsidR="00C7449B" w:rsidRPr="00C7449B">
        <w:rPr>
          <w:b w:val="0"/>
        </w:rPr>
        <w:t xml:space="preserve">, </w:t>
      </w:r>
      <w:r w:rsidR="00F05081">
        <w:rPr>
          <w:b w:val="0"/>
        </w:rPr>
        <w:t xml:space="preserve">bu amaçla </w:t>
      </w:r>
      <w:r w:rsidR="00C7449B" w:rsidRPr="00C7449B">
        <w:rPr>
          <w:b w:val="0"/>
        </w:rPr>
        <w:t>üniversite dış</w:t>
      </w:r>
      <w:r w:rsidR="00427CDD">
        <w:rPr>
          <w:b w:val="0"/>
        </w:rPr>
        <w:t>ı</w:t>
      </w:r>
      <w:r w:rsidR="00F05081">
        <w:rPr>
          <w:b w:val="0"/>
        </w:rPr>
        <w:t xml:space="preserve"> hibe ve fonlar</w:t>
      </w:r>
      <w:r w:rsidR="00C7449B" w:rsidRPr="00C7449B">
        <w:rPr>
          <w:b w:val="0"/>
        </w:rPr>
        <w:t>dan kaynakların sağlanması için gerekli olan eşgüdüm ve stratejilerin oluşturulmasını ve bunların uygulanmasını amaçlamaktadır.</w:t>
      </w:r>
    </w:p>
    <w:p w:rsidR="00125776" w:rsidRPr="00C7449B" w:rsidRDefault="00125776" w:rsidP="00125776">
      <w:pPr>
        <w:pStyle w:val="Bodytext20"/>
        <w:shd w:val="clear" w:color="auto" w:fill="auto"/>
        <w:spacing w:after="120" w:line="240" w:lineRule="auto"/>
        <w:ind w:firstLine="284"/>
        <w:jc w:val="left"/>
        <w:rPr>
          <w:b w:val="0"/>
        </w:rPr>
      </w:pPr>
      <w:r w:rsidRPr="00C7449B">
        <w:rPr>
          <w:b w:val="0"/>
        </w:rPr>
        <w:t xml:space="preserve"> </w:t>
      </w:r>
    </w:p>
    <w:p w:rsidR="00125776" w:rsidRPr="00125776" w:rsidRDefault="00125776" w:rsidP="00125776">
      <w:pPr>
        <w:pStyle w:val="Bodytext20"/>
        <w:shd w:val="clear" w:color="auto" w:fill="auto"/>
        <w:spacing w:after="120" w:line="240" w:lineRule="auto"/>
        <w:ind w:firstLine="284"/>
        <w:jc w:val="left"/>
      </w:pPr>
      <w:r w:rsidRPr="00125776">
        <w:t>Dayanak</w:t>
      </w:r>
    </w:p>
    <w:p w:rsidR="00C7449B" w:rsidRDefault="00125776" w:rsidP="0001742D">
      <w:pPr>
        <w:pStyle w:val="Bodytext20"/>
        <w:spacing w:after="120"/>
        <w:ind w:firstLine="284"/>
        <w:jc w:val="left"/>
        <w:rPr>
          <w:b w:val="0"/>
        </w:rPr>
      </w:pPr>
      <w:r w:rsidRPr="00554269">
        <w:t>MADDE 3- (1)</w:t>
      </w:r>
      <w:r>
        <w:rPr>
          <w:b w:val="0"/>
        </w:rPr>
        <w:t xml:space="preserve"> </w:t>
      </w:r>
      <w:r w:rsidR="00C7449B" w:rsidRPr="00C7449B">
        <w:rPr>
          <w:b w:val="0"/>
        </w:rPr>
        <w:t>2547 sayı</w:t>
      </w:r>
      <w:r w:rsidR="00F05081">
        <w:rPr>
          <w:b w:val="0"/>
        </w:rPr>
        <w:t>lı Yüksek Öğrenim Kanununun 11.M</w:t>
      </w:r>
      <w:r w:rsidR="00C7449B" w:rsidRPr="00C7449B">
        <w:rPr>
          <w:b w:val="0"/>
        </w:rPr>
        <w:t>addesi ‘Kurul, çalışmalarını kolaylaştırmak ve üniversiteler</w:t>
      </w:r>
      <w:r w:rsidR="00427CDD">
        <w:rPr>
          <w:b w:val="0"/>
        </w:rPr>
        <w:t xml:space="preserve"> </w:t>
      </w:r>
      <w:r w:rsidR="00C7449B" w:rsidRPr="00C7449B">
        <w:rPr>
          <w:b w:val="0"/>
        </w:rPr>
        <w:t xml:space="preserve">arasında ve uluslararası yükseköğretim kurumları ile işbirliğini düzenlemek amacı ile sürekli ve geçici birimler ve komisyonlar kurabilir.’ </w:t>
      </w:r>
      <w:r w:rsidR="00F05081">
        <w:rPr>
          <w:b w:val="0"/>
        </w:rPr>
        <w:t>bu Yönerge</w:t>
      </w:r>
      <w:r w:rsidR="00C7449B" w:rsidRPr="00C7449B">
        <w:rPr>
          <w:b w:val="0"/>
        </w:rPr>
        <w:t>nin dayanağını teşkil eder.</w:t>
      </w:r>
    </w:p>
    <w:p w:rsidR="0001742D" w:rsidRDefault="0001742D" w:rsidP="00125776">
      <w:pPr>
        <w:pStyle w:val="Bodytext20"/>
        <w:spacing w:after="120"/>
        <w:ind w:firstLine="284"/>
        <w:jc w:val="left"/>
      </w:pPr>
    </w:p>
    <w:p w:rsidR="00125776" w:rsidRPr="00125776" w:rsidRDefault="00125776" w:rsidP="00125776">
      <w:pPr>
        <w:pStyle w:val="Bodytext20"/>
        <w:spacing w:after="120"/>
        <w:ind w:firstLine="284"/>
        <w:jc w:val="left"/>
      </w:pPr>
      <w:r w:rsidRPr="00125776">
        <w:t xml:space="preserve">Tanımlar </w:t>
      </w:r>
    </w:p>
    <w:p w:rsidR="00125776" w:rsidRDefault="00125776" w:rsidP="00125776">
      <w:pPr>
        <w:pStyle w:val="Bodytext20"/>
        <w:spacing w:after="120"/>
        <w:ind w:firstLine="284"/>
        <w:jc w:val="left"/>
        <w:rPr>
          <w:b w:val="0"/>
        </w:rPr>
      </w:pPr>
      <w:r w:rsidRPr="000A2CA8">
        <w:t>MADDE 4- (1)</w:t>
      </w:r>
      <w:r w:rsidRPr="00125776">
        <w:rPr>
          <w:b w:val="0"/>
        </w:rPr>
        <w:t xml:space="preserve"> Bu Yönergede geçen; </w:t>
      </w:r>
    </w:p>
    <w:p w:rsidR="00125776" w:rsidRDefault="00125776" w:rsidP="00125776">
      <w:pPr>
        <w:pStyle w:val="Bodytext20"/>
        <w:spacing w:after="120"/>
        <w:ind w:firstLine="284"/>
        <w:jc w:val="left"/>
        <w:rPr>
          <w:b w:val="0"/>
        </w:rPr>
      </w:pPr>
      <w:r w:rsidRPr="00125776">
        <w:rPr>
          <w:b w:val="0"/>
        </w:rPr>
        <w:t xml:space="preserve"> </w:t>
      </w:r>
      <w:proofErr w:type="gramStart"/>
      <w:r w:rsidRPr="00125776">
        <w:rPr>
          <w:b w:val="0"/>
        </w:rPr>
        <w:t>a</w:t>
      </w:r>
      <w:proofErr w:type="gramEnd"/>
      <w:r w:rsidRPr="00125776">
        <w:rPr>
          <w:b w:val="0"/>
        </w:rPr>
        <w:t xml:space="preserve">. Rektör: </w:t>
      </w:r>
      <w:r>
        <w:rPr>
          <w:b w:val="0"/>
        </w:rPr>
        <w:t>Antalya Bilim</w:t>
      </w:r>
      <w:r w:rsidR="00427CDD">
        <w:rPr>
          <w:b w:val="0"/>
        </w:rPr>
        <w:t xml:space="preserve"> Üniversitesi Rektörü’nü,</w:t>
      </w:r>
    </w:p>
    <w:p w:rsidR="00125776" w:rsidRDefault="00125776" w:rsidP="00125776">
      <w:pPr>
        <w:pStyle w:val="Bodytext20"/>
        <w:spacing w:after="120"/>
        <w:ind w:firstLine="284"/>
        <w:jc w:val="left"/>
        <w:rPr>
          <w:b w:val="0"/>
        </w:rPr>
      </w:pPr>
      <w:r>
        <w:rPr>
          <w:b w:val="0"/>
        </w:rPr>
        <w:t xml:space="preserve"> </w:t>
      </w:r>
      <w:proofErr w:type="gramStart"/>
      <w:r w:rsidRPr="00125776">
        <w:rPr>
          <w:b w:val="0"/>
        </w:rPr>
        <w:t>b</w:t>
      </w:r>
      <w:proofErr w:type="gramEnd"/>
      <w:r w:rsidRPr="00125776">
        <w:rPr>
          <w:b w:val="0"/>
        </w:rPr>
        <w:t xml:space="preserve">. Üniversite: </w:t>
      </w:r>
      <w:r>
        <w:rPr>
          <w:b w:val="0"/>
        </w:rPr>
        <w:t>Antalya Bilim Üniversitesi’ni</w:t>
      </w:r>
      <w:r w:rsidR="00427CDD">
        <w:rPr>
          <w:b w:val="0"/>
        </w:rPr>
        <w:t>,</w:t>
      </w:r>
    </w:p>
    <w:p w:rsidR="00125776" w:rsidRDefault="00125776" w:rsidP="00125776">
      <w:pPr>
        <w:pStyle w:val="Bodytext20"/>
        <w:spacing w:after="120"/>
        <w:ind w:firstLine="284"/>
        <w:jc w:val="left"/>
        <w:rPr>
          <w:b w:val="0"/>
        </w:rPr>
      </w:pPr>
      <w:r w:rsidRPr="00125776">
        <w:rPr>
          <w:b w:val="0"/>
        </w:rPr>
        <w:t xml:space="preserve"> </w:t>
      </w:r>
      <w:proofErr w:type="gramStart"/>
      <w:r w:rsidRPr="00125776">
        <w:rPr>
          <w:b w:val="0"/>
        </w:rPr>
        <w:t>c</w:t>
      </w:r>
      <w:proofErr w:type="gramEnd"/>
      <w:r w:rsidRPr="00125776">
        <w:rPr>
          <w:b w:val="0"/>
        </w:rPr>
        <w:t xml:space="preserve">. Senato: </w:t>
      </w:r>
      <w:r>
        <w:rPr>
          <w:b w:val="0"/>
        </w:rPr>
        <w:t xml:space="preserve">Antalya Bilim Üniversitesi </w:t>
      </w:r>
      <w:r w:rsidR="00427CDD">
        <w:rPr>
          <w:b w:val="0"/>
        </w:rPr>
        <w:t>Senatosu’nu,</w:t>
      </w:r>
    </w:p>
    <w:p w:rsidR="00E316ED" w:rsidRDefault="0001742D" w:rsidP="00E316ED">
      <w:pPr>
        <w:pStyle w:val="Bodytext20"/>
        <w:spacing w:after="120"/>
        <w:ind w:firstLine="284"/>
        <w:jc w:val="left"/>
        <w:rPr>
          <w:b w:val="0"/>
        </w:rPr>
      </w:pPr>
      <w:r>
        <w:rPr>
          <w:b w:val="0"/>
        </w:rPr>
        <w:lastRenderedPageBreak/>
        <w:t xml:space="preserve"> </w:t>
      </w:r>
      <w:proofErr w:type="gramStart"/>
      <w:r w:rsidR="00125776" w:rsidRPr="00125776">
        <w:rPr>
          <w:b w:val="0"/>
        </w:rPr>
        <w:t>d</w:t>
      </w:r>
      <w:proofErr w:type="gramEnd"/>
      <w:r w:rsidR="00125776" w:rsidRPr="00125776">
        <w:rPr>
          <w:b w:val="0"/>
        </w:rPr>
        <w:t xml:space="preserve">. Komisyon: </w:t>
      </w:r>
      <w:r w:rsidR="00125776">
        <w:rPr>
          <w:b w:val="0"/>
        </w:rPr>
        <w:t xml:space="preserve">Antalya </w:t>
      </w:r>
      <w:r>
        <w:rPr>
          <w:b w:val="0"/>
        </w:rPr>
        <w:t xml:space="preserve">Bilim </w:t>
      </w:r>
      <w:r w:rsidRPr="00125776">
        <w:rPr>
          <w:b w:val="0"/>
        </w:rPr>
        <w:t>Üniversitesi</w:t>
      </w:r>
      <w:r w:rsidR="00125776" w:rsidRPr="00125776">
        <w:rPr>
          <w:b w:val="0"/>
        </w:rPr>
        <w:t xml:space="preserve"> </w:t>
      </w:r>
      <w:r w:rsidR="002878CB">
        <w:rPr>
          <w:b w:val="0"/>
        </w:rPr>
        <w:t xml:space="preserve">Toplumsal Katkı </w:t>
      </w:r>
      <w:r w:rsidR="00125776" w:rsidRPr="00125776">
        <w:rPr>
          <w:b w:val="0"/>
        </w:rPr>
        <w:t xml:space="preserve">Komisyonu'nu, </w:t>
      </w:r>
    </w:p>
    <w:p w:rsidR="0050416D" w:rsidRDefault="00125776" w:rsidP="00125776">
      <w:pPr>
        <w:pStyle w:val="Bodytext20"/>
        <w:spacing w:after="120"/>
        <w:ind w:firstLine="284"/>
        <w:jc w:val="left"/>
        <w:rPr>
          <w:b w:val="0"/>
        </w:rPr>
      </w:pPr>
      <w:proofErr w:type="gramStart"/>
      <w:r w:rsidRPr="00125776">
        <w:rPr>
          <w:b w:val="0"/>
        </w:rPr>
        <w:t>e</w:t>
      </w:r>
      <w:proofErr w:type="gramEnd"/>
      <w:r w:rsidRPr="00125776">
        <w:rPr>
          <w:b w:val="0"/>
        </w:rPr>
        <w:t xml:space="preserve">. Başkan: </w:t>
      </w:r>
      <w:r>
        <w:rPr>
          <w:b w:val="0"/>
        </w:rPr>
        <w:t xml:space="preserve">Antalya Bilim </w:t>
      </w:r>
      <w:r w:rsidRPr="00125776">
        <w:rPr>
          <w:b w:val="0"/>
        </w:rPr>
        <w:t xml:space="preserve">Üniversitesi </w:t>
      </w:r>
      <w:r w:rsidR="002878CB">
        <w:rPr>
          <w:b w:val="0"/>
        </w:rPr>
        <w:t>Toplumsal Katkı</w:t>
      </w:r>
      <w:r w:rsidRPr="00125776">
        <w:rPr>
          <w:b w:val="0"/>
        </w:rPr>
        <w:t xml:space="preserve"> Komisyonu Başkanı'nı, </w:t>
      </w:r>
    </w:p>
    <w:p w:rsidR="00E316ED" w:rsidRDefault="001C161A" w:rsidP="001C161A">
      <w:pPr>
        <w:pStyle w:val="Bodytext20"/>
        <w:spacing w:after="120"/>
        <w:ind w:firstLine="284"/>
        <w:jc w:val="left"/>
        <w:rPr>
          <w:b w:val="0"/>
        </w:rPr>
      </w:pPr>
      <w:proofErr w:type="gramStart"/>
      <w:r>
        <w:rPr>
          <w:b w:val="0"/>
        </w:rPr>
        <w:t>f</w:t>
      </w:r>
      <w:proofErr w:type="gramEnd"/>
      <w:r>
        <w:rPr>
          <w:b w:val="0"/>
        </w:rPr>
        <w:t xml:space="preserve">. </w:t>
      </w:r>
      <w:r w:rsidR="00E316ED">
        <w:rPr>
          <w:b w:val="0"/>
        </w:rPr>
        <w:t xml:space="preserve">Üye: Antalya Bilim </w:t>
      </w:r>
      <w:r w:rsidR="00E316ED" w:rsidRPr="00125776">
        <w:rPr>
          <w:b w:val="0"/>
        </w:rPr>
        <w:t xml:space="preserve">Üniversitesi </w:t>
      </w:r>
      <w:r w:rsidR="00E316ED">
        <w:rPr>
          <w:b w:val="0"/>
        </w:rPr>
        <w:t>Toplumsal Katkı Komisyonu üyesidir.</w:t>
      </w:r>
    </w:p>
    <w:p w:rsidR="00F05081" w:rsidRDefault="00F05081" w:rsidP="00161D82">
      <w:pPr>
        <w:pStyle w:val="Bodytext20"/>
        <w:spacing w:after="120"/>
      </w:pPr>
    </w:p>
    <w:p w:rsidR="00161D82" w:rsidRPr="00554269" w:rsidRDefault="00161D82" w:rsidP="00161D82">
      <w:pPr>
        <w:pStyle w:val="Bodytext20"/>
        <w:spacing w:after="120"/>
      </w:pPr>
      <w:r w:rsidRPr="00554269">
        <w:t>İKİNCİ BÖLÜM</w:t>
      </w:r>
    </w:p>
    <w:p w:rsidR="00161D82" w:rsidRPr="00554269" w:rsidRDefault="00554269" w:rsidP="00554269">
      <w:pPr>
        <w:pStyle w:val="Bodytext20"/>
        <w:spacing w:after="120"/>
        <w:jc w:val="left"/>
      </w:pPr>
      <w:r>
        <w:t xml:space="preserve">     </w:t>
      </w:r>
      <w:r w:rsidR="00161D82" w:rsidRPr="00554269">
        <w:t xml:space="preserve">Komisyonun Kurulması, Görevleri, Komisyon Başkanın Sorumluluğu ve Görevleri       </w:t>
      </w:r>
    </w:p>
    <w:p w:rsidR="00161D82" w:rsidRPr="00161D82" w:rsidRDefault="00161D82" w:rsidP="00161D82">
      <w:pPr>
        <w:pStyle w:val="Bodytext20"/>
        <w:spacing w:after="120"/>
        <w:jc w:val="left"/>
      </w:pPr>
      <w:r w:rsidRPr="00161D82">
        <w:rPr>
          <w:b w:val="0"/>
        </w:rPr>
        <w:t xml:space="preserve"> </w:t>
      </w:r>
      <w:r w:rsidR="00554269">
        <w:rPr>
          <w:b w:val="0"/>
        </w:rPr>
        <w:t xml:space="preserve">    </w:t>
      </w:r>
      <w:r w:rsidRPr="00161D82">
        <w:t xml:space="preserve">Komisyonun kurulması </w:t>
      </w:r>
    </w:p>
    <w:p w:rsidR="00161D82" w:rsidRPr="00554269" w:rsidRDefault="00161D82" w:rsidP="00161D82">
      <w:pPr>
        <w:pStyle w:val="Bodytext20"/>
        <w:spacing w:after="120"/>
        <w:jc w:val="left"/>
      </w:pPr>
      <w:r>
        <w:rPr>
          <w:b w:val="0"/>
        </w:rPr>
        <w:t xml:space="preserve">     </w:t>
      </w:r>
      <w:r w:rsidRPr="00554269">
        <w:t>MADDE 5</w:t>
      </w:r>
    </w:p>
    <w:p w:rsidR="00161D82" w:rsidRDefault="00161D82" w:rsidP="00161D82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</w:t>
      </w:r>
      <w:r w:rsidR="00F05081">
        <w:rPr>
          <w:b w:val="0"/>
        </w:rPr>
        <w:t>Komisyon,</w:t>
      </w:r>
      <w:r w:rsidRPr="00161D82">
        <w:rPr>
          <w:b w:val="0"/>
        </w:rPr>
        <w:t xml:space="preserve"> Rektör tarafından görevlendirilen, </w:t>
      </w:r>
      <w:r w:rsidR="006E09EB">
        <w:rPr>
          <w:b w:val="0"/>
        </w:rPr>
        <w:t>toplumsal katkıdan</w:t>
      </w:r>
      <w:r w:rsidR="00F05081">
        <w:rPr>
          <w:b w:val="0"/>
        </w:rPr>
        <w:t xml:space="preserve"> sorumlu rektör y</w:t>
      </w:r>
      <w:r w:rsidRPr="00161D82">
        <w:rPr>
          <w:b w:val="0"/>
        </w:rPr>
        <w:t>ardımcısı başkanlığında</w:t>
      </w:r>
      <w:r w:rsidR="00F05081">
        <w:rPr>
          <w:b w:val="0"/>
        </w:rPr>
        <w:t>,  fakültelerin toplumsal k</w:t>
      </w:r>
      <w:r w:rsidR="002878CB">
        <w:rPr>
          <w:b w:val="0"/>
        </w:rPr>
        <w:t>atkıdan</w:t>
      </w:r>
      <w:r w:rsidR="00F05081">
        <w:rPr>
          <w:b w:val="0"/>
        </w:rPr>
        <w:t xml:space="preserve"> sorumlu akademisyenlerin</w:t>
      </w:r>
      <w:r>
        <w:rPr>
          <w:b w:val="0"/>
        </w:rPr>
        <w:t xml:space="preserve"> </w:t>
      </w:r>
      <w:r w:rsidRPr="00161D82">
        <w:rPr>
          <w:b w:val="0"/>
        </w:rPr>
        <w:t xml:space="preserve">görev alacağı </w:t>
      </w:r>
      <w:r>
        <w:rPr>
          <w:b w:val="0"/>
        </w:rPr>
        <w:t xml:space="preserve">üyelerden, </w:t>
      </w:r>
      <w:r w:rsidR="001C161A">
        <w:rPr>
          <w:b w:val="0"/>
        </w:rPr>
        <w:t>Genel Sekreter</w:t>
      </w:r>
      <w:r w:rsidR="002878CB">
        <w:rPr>
          <w:b w:val="0"/>
        </w:rPr>
        <w:t xml:space="preserve">, </w:t>
      </w:r>
      <w:r w:rsidR="00477BB9">
        <w:rPr>
          <w:b w:val="0"/>
        </w:rPr>
        <w:t>Teknoloji ve Transfer Ofisi</w:t>
      </w:r>
      <w:r w:rsidR="001C161A">
        <w:rPr>
          <w:b w:val="0"/>
        </w:rPr>
        <w:t xml:space="preserve"> Koordinatörü</w:t>
      </w:r>
      <w:r w:rsidR="00477BB9">
        <w:rPr>
          <w:b w:val="0"/>
        </w:rPr>
        <w:t xml:space="preserve">, </w:t>
      </w:r>
      <w:r w:rsidR="002878CB">
        <w:rPr>
          <w:b w:val="0"/>
        </w:rPr>
        <w:t xml:space="preserve">Spor, Kültür </w:t>
      </w:r>
      <w:r w:rsidR="00F05081">
        <w:rPr>
          <w:b w:val="0"/>
        </w:rPr>
        <w:t>ve Sanat</w:t>
      </w:r>
      <w:r w:rsidR="001C161A">
        <w:rPr>
          <w:b w:val="0"/>
        </w:rPr>
        <w:t xml:space="preserve"> Müdürü</w:t>
      </w:r>
      <w:r w:rsidR="002878CB">
        <w:rPr>
          <w:b w:val="0"/>
        </w:rPr>
        <w:t xml:space="preserve"> </w:t>
      </w:r>
      <w:r w:rsidR="00F05081">
        <w:rPr>
          <w:b w:val="0"/>
        </w:rPr>
        <w:t>ile Kalite</w:t>
      </w:r>
      <w:r w:rsidR="002878CB">
        <w:rPr>
          <w:b w:val="0"/>
        </w:rPr>
        <w:t xml:space="preserve"> </w:t>
      </w:r>
      <w:r w:rsidR="001C161A">
        <w:rPr>
          <w:b w:val="0"/>
        </w:rPr>
        <w:t>Koordinatöründen</w:t>
      </w:r>
      <w:r w:rsidR="00F05081">
        <w:rPr>
          <w:b w:val="0"/>
        </w:rPr>
        <w:t xml:space="preserve"> oluşturulur</w:t>
      </w:r>
      <w:r w:rsidRPr="00161D82">
        <w:rPr>
          <w:b w:val="0"/>
        </w:rPr>
        <w:t xml:space="preserve">.  Komisyonun başkanı, </w:t>
      </w:r>
      <w:r w:rsidR="00F05081">
        <w:rPr>
          <w:b w:val="0"/>
        </w:rPr>
        <w:t>Rektör tarafından atanacak rektör y</w:t>
      </w:r>
      <w:r w:rsidRPr="00161D82">
        <w:rPr>
          <w:b w:val="0"/>
        </w:rPr>
        <w:t>ardımcısıdır. Komisyon üyelerinin görev süresi üç yıldır. Görev süresi biten komisyon üyesi, komisyonda yeniden görev alabilir. Mazeret bildirmeden arka arkaya üç toplantıya katılmayan üyenin görev süresi sonlanır.</w:t>
      </w:r>
    </w:p>
    <w:p w:rsidR="00B349D7" w:rsidRPr="00B349D7" w:rsidRDefault="00B349D7" w:rsidP="00161D82">
      <w:pPr>
        <w:pStyle w:val="Bodytext20"/>
        <w:spacing w:after="120"/>
        <w:jc w:val="left"/>
      </w:pPr>
      <w:r w:rsidRPr="00B349D7">
        <w:t xml:space="preserve">     </w:t>
      </w:r>
      <w:r w:rsidR="00554269">
        <w:t xml:space="preserve"> </w:t>
      </w:r>
      <w:r w:rsidRPr="00B349D7">
        <w:t>Komisyonun Görevleri</w:t>
      </w:r>
    </w:p>
    <w:p w:rsidR="00B349D7" w:rsidRDefault="00B349D7" w:rsidP="00161D82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</w:t>
      </w:r>
      <w:r w:rsidRPr="00554269">
        <w:t>Madde 6- (1)</w:t>
      </w:r>
      <w:r w:rsidRPr="00B349D7">
        <w:rPr>
          <w:b w:val="0"/>
        </w:rPr>
        <w:t xml:space="preserve"> Komisyonun görevleri </w:t>
      </w:r>
      <w:r w:rsidR="009471DA">
        <w:rPr>
          <w:b w:val="0"/>
        </w:rPr>
        <w:t>aşağıda olduğu gibidir:</w:t>
      </w:r>
    </w:p>
    <w:p w:rsidR="00781F2E" w:rsidRPr="006E79E9" w:rsidRDefault="00781F2E" w:rsidP="00781F2E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r w:rsidRPr="006E79E9">
        <w:rPr>
          <w:b w:val="0"/>
        </w:rPr>
        <w:t>Üniversitenin bütün birimleri ile eşgüdümü sağlamak, Üniversite'nin Toplumsal Katkı politikasını oluşturmak ve uygulanması konusunda alınabilecek tedbirleri Rektör'e bildirmek</w:t>
      </w:r>
      <w:r w:rsidR="00AA4E18">
        <w:rPr>
          <w:b w:val="0"/>
        </w:rPr>
        <w:t>,</w:t>
      </w:r>
    </w:p>
    <w:p w:rsidR="00781F2E" w:rsidRPr="006E79E9" w:rsidRDefault="00781F2E" w:rsidP="00781F2E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r w:rsidRPr="006E79E9">
        <w:rPr>
          <w:b w:val="0"/>
        </w:rPr>
        <w:t>Üniversitenin toplumsal katkı politikaları, stratejileri ve öncelikleri doğrultusunda kapasitesini geliştirerek, toplumsal katkıya yönelik projelerin ve etkinliklerin teşvik edilmesini sağlamak</w:t>
      </w:r>
      <w:r w:rsidR="00AA4E18">
        <w:rPr>
          <w:b w:val="0"/>
        </w:rPr>
        <w:t>,</w:t>
      </w:r>
    </w:p>
    <w:p w:rsidR="00781F2E" w:rsidRPr="006E79E9" w:rsidRDefault="00781F2E" w:rsidP="00781F2E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r w:rsidRPr="006E79E9">
        <w:rPr>
          <w:b w:val="0"/>
        </w:rPr>
        <w:t>Üniversit</w:t>
      </w:r>
      <w:r>
        <w:rPr>
          <w:b w:val="0"/>
        </w:rPr>
        <w:t>e'de yürütülen her türden toplumsal k</w:t>
      </w:r>
      <w:r w:rsidRPr="006E79E9">
        <w:rPr>
          <w:b w:val="0"/>
        </w:rPr>
        <w:t>atkı etkinliklerinin başlangıç ve gelişimi hakkında ilgili bilgileri kayıt altına almak</w:t>
      </w:r>
      <w:r w:rsidR="00AA4E18">
        <w:rPr>
          <w:b w:val="0"/>
        </w:rPr>
        <w:t>,</w:t>
      </w:r>
    </w:p>
    <w:p w:rsidR="00781F2E" w:rsidRDefault="00781F2E" w:rsidP="00781F2E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r w:rsidRPr="006E79E9">
        <w:rPr>
          <w:b w:val="0"/>
        </w:rPr>
        <w:t>Mevcut Toplumsal Katkı olanaklarının Üniversitenin birimleri arasında etkin kullanımı konusunda gerekli düzenlemeleri yapmak</w:t>
      </w:r>
      <w:r w:rsidR="00AA4E18">
        <w:rPr>
          <w:b w:val="0"/>
        </w:rPr>
        <w:t>,</w:t>
      </w:r>
    </w:p>
    <w:p w:rsidR="00781F2E" w:rsidRPr="006E79E9" w:rsidRDefault="00781F2E" w:rsidP="00781F2E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r>
        <w:rPr>
          <w:b w:val="0"/>
        </w:rPr>
        <w:t>Topl</w:t>
      </w:r>
      <w:r w:rsidR="00AA4E18">
        <w:rPr>
          <w:b w:val="0"/>
        </w:rPr>
        <w:t>umsal k</w:t>
      </w:r>
      <w:r>
        <w:rPr>
          <w:b w:val="0"/>
        </w:rPr>
        <w:t>atkıya yönelik projelere ve e</w:t>
      </w:r>
      <w:r w:rsidRPr="006E79E9">
        <w:rPr>
          <w:b w:val="0"/>
        </w:rPr>
        <w:t>tkinliklere ilişki</w:t>
      </w:r>
      <w:r>
        <w:rPr>
          <w:b w:val="0"/>
        </w:rPr>
        <w:t xml:space="preserve">n mali istatistikleri </w:t>
      </w:r>
      <w:r w:rsidR="00E316ED">
        <w:rPr>
          <w:b w:val="0"/>
        </w:rPr>
        <w:t>takip ederek</w:t>
      </w:r>
      <w:r w:rsidR="00AA4E18">
        <w:rPr>
          <w:b w:val="0"/>
        </w:rPr>
        <w:t xml:space="preserve"> ilgili</w:t>
      </w:r>
      <w:r>
        <w:rPr>
          <w:b w:val="0"/>
        </w:rPr>
        <w:t xml:space="preserve"> birimlere sunmak</w:t>
      </w:r>
      <w:r w:rsidRPr="006E79E9">
        <w:rPr>
          <w:b w:val="0"/>
        </w:rPr>
        <w:t>, danışmanlık ve eğitim</w:t>
      </w:r>
      <w:r>
        <w:rPr>
          <w:b w:val="0"/>
        </w:rPr>
        <w:t xml:space="preserve"> hizmet</w:t>
      </w:r>
      <w:r w:rsidR="00AA4E18">
        <w:rPr>
          <w:b w:val="0"/>
        </w:rPr>
        <w:t>lerini</w:t>
      </w:r>
      <w:r>
        <w:rPr>
          <w:b w:val="0"/>
        </w:rPr>
        <w:t xml:space="preserve"> organize </w:t>
      </w:r>
      <w:r w:rsidR="00AA4E18">
        <w:rPr>
          <w:b w:val="0"/>
        </w:rPr>
        <w:t>etmek ve</w:t>
      </w:r>
      <w:r>
        <w:rPr>
          <w:b w:val="0"/>
        </w:rPr>
        <w:t xml:space="preserve"> izlemek,</w:t>
      </w:r>
    </w:p>
    <w:p w:rsidR="00781F2E" w:rsidRPr="006E79E9" w:rsidRDefault="00AA4E18" w:rsidP="00781F2E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r>
        <w:rPr>
          <w:b w:val="0"/>
        </w:rPr>
        <w:t>Toplumsal k</w:t>
      </w:r>
      <w:r w:rsidR="00781F2E" w:rsidRPr="006E79E9">
        <w:rPr>
          <w:b w:val="0"/>
        </w:rPr>
        <w:t>atkı faaliyetlerinin amaçlarına ulaştığından, öğrencilerin ve toplumun ihtiyaçlarına cevap verdiğinden</w:t>
      </w:r>
      <w:r>
        <w:rPr>
          <w:b w:val="0"/>
        </w:rPr>
        <w:t xml:space="preserve"> emin olmak için üniversitenin toplumsal k</w:t>
      </w:r>
      <w:r w:rsidR="00781F2E" w:rsidRPr="006E79E9">
        <w:rPr>
          <w:b w:val="0"/>
        </w:rPr>
        <w:t>atkı politikasını peri</w:t>
      </w:r>
      <w:r>
        <w:rPr>
          <w:b w:val="0"/>
        </w:rPr>
        <w:t xml:space="preserve">yodik olarak gözden geçirmek, </w:t>
      </w:r>
      <w:r w:rsidR="00781F2E" w:rsidRPr="006E79E9">
        <w:rPr>
          <w:b w:val="0"/>
        </w:rPr>
        <w:t>güncellemek ve Üniversitenin gelişme stratejilerinde kullanılmak üzere Stratejik Plan ve Kalite Komisyonuna iletmek</w:t>
      </w:r>
      <w:r w:rsidR="00EC44F8">
        <w:rPr>
          <w:b w:val="0"/>
        </w:rPr>
        <w:t>,</w:t>
      </w:r>
    </w:p>
    <w:p w:rsidR="00781F2E" w:rsidRPr="00B349D7" w:rsidRDefault="00781F2E" w:rsidP="00781F2E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r w:rsidRPr="00B349D7">
        <w:rPr>
          <w:b w:val="0"/>
        </w:rPr>
        <w:t>Kom</w:t>
      </w:r>
      <w:r w:rsidR="00AA4E18">
        <w:rPr>
          <w:b w:val="0"/>
        </w:rPr>
        <w:t>isyonun kapsamındaki süreçleri kalite m</w:t>
      </w:r>
      <w:r w:rsidRPr="00B349D7">
        <w:rPr>
          <w:b w:val="0"/>
        </w:rPr>
        <w:t>evzuatına uygun olarak</w:t>
      </w:r>
      <w:r w:rsidR="00E316ED">
        <w:rPr>
          <w:b w:val="0"/>
        </w:rPr>
        <w:t xml:space="preserve"> (Planla – Uygula – Kontrol Et </w:t>
      </w:r>
      <w:r w:rsidR="00E316ED">
        <w:rPr>
          <w:b w:val="0"/>
        </w:rPr>
        <w:lastRenderedPageBreak/>
        <w:t>– Önlem Al</w:t>
      </w:r>
      <w:r w:rsidRPr="00B349D7">
        <w:rPr>
          <w:b w:val="0"/>
        </w:rPr>
        <w:t xml:space="preserve"> </w:t>
      </w:r>
      <w:r w:rsidR="00E316ED">
        <w:rPr>
          <w:b w:val="0"/>
        </w:rPr>
        <w:t>(</w:t>
      </w:r>
      <w:r w:rsidRPr="00B349D7">
        <w:rPr>
          <w:b w:val="0"/>
        </w:rPr>
        <w:t>PUKÖ</w:t>
      </w:r>
      <w:r w:rsidR="00E316ED">
        <w:rPr>
          <w:b w:val="0"/>
        </w:rPr>
        <w:t>)</w:t>
      </w:r>
      <w:r w:rsidRPr="00B349D7">
        <w:rPr>
          <w:b w:val="0"/>
        </w:rPr>
        <w:t xml:space="preserve"> döngüsü ile </w:t>
      </w:r>
      <w:r w:rsidR="00AA4E18">
        <w:rPr>
          <w:b w:val="0"/>
        </w:rPr>
        <w:t>tanımlamak, s</w:t>
      </w:r>
      <w:r w:rsidRPr="00B349D7">
        <w:rPr>
          <w:b w:val="0"/>
        </w:rPr>
        <w:t>üreç yönetimi mekanizmalarını izlemek, Komisyonun ilgi alanındaki k</w:t>
      </w:r>
      <w:r w:rsidR="00AA4E18">
        <w:rPr>
          <w:b w:val="0"/>
        </w:rPr>
        <w:t>onuların b</w:t>
      </w:r>
      <w:r w:rsidRPr="00B349D7">
        <w:rPr>
          <w:b w:val="0"/>
        </w:rPr>
        <w:t xml:space="preserve">irim temsilcilerinin tavsiyeleri doğrultusunda değerlendirmek ve </w:t>
      </w:r>
      <w:r w:rsidR="00AA4E18">
        <w:rPr>
          <w:b w:val="0"/>
        </w:rPr>
        <w:t>gerekli iyileştirmeleri sağlamak,</w:t>
      </w:r>
    </w:p>
    <w:p w:rsidR="00AA4E18" w:rsidRPr="00AA4E18" w:rsidRDefault="00AA4E18" w:rsidP="00AA4E18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proofErr w:type="spellStart"/>
      <w:r w:rsidRPr="00B349D7">
        <w:rPr>
          <w:b w:val="0"/>
        </w:rPr>
        <w:t>YÖKAK’ın</w:t>
      </w:r>
      <w:proofErr w:type="spellEnd"/>
      <w:r w:rsidRPr="00B349D7">
        <w:rPr>
          <w:b w:val="0"/>
        </w:rPr>
        <w:t xml:space="preserve"> Dereceli Değerlendirme Sistemi</w:t>
      </w:r>
      <w:r>
        <w:rPr>
          <w:b w:val="0"/>
        </w:rPr>
        <w:t>nde var olan</w:t>
      </w:r>
      <w:r w:rsidRPr="00B349D7">
        <w:rPr>
          <w:b w:val="0"/>
        </w:rPr>
        <w:t xml:space="preserve"> ölçüt ve alt ölçütlere göre </w:t>
      </w:r>
      <w:r>
        <w:rPr>
          <w:b w:val="0"/>
        </w:rPr>
        <w:t xml:space="preserve">gerekli </w:t>
      </w:r>
      <w:r w:rsidRPr="00B349D7">
        <w:rPr>
          <w:b w:val="0"/>
        </w:rPr>
        <w:t>hazırlıkları yaparak, yıllık Kurumsal İç Değerlendirme Raporu (KİDR)’</w:t>
      </w:r>
      <w:proofErr w:type="spellStart"/>
      <w:r w:rsidRPr="00B349D7">
        <w:rPr>
          <w:b w:val="0"/>
        </w:rPr>
        <w:t>nun</w:t>
      </w:r>
      <w:proofErr w:type="spellEnd"/>
      <w:r w:rsidRPr="00B349D7">
        <w:rPr>
          <w:b w:val="0"/>
        </w:rPr>
        <w:t xml:space="preserve"> ‘</w:t>
      </w:r>
      <w:r w:rsidR="00AC6EC5">
        <w:rPr>
          <w:b w:val="0"/>
        </w:rPr>
        <w:t>Toplumsal Katkı’</w:t>
      </w:r>
      <w:r w:rsidRPr="00B349D7">
        <w:rPr>
          <w:b w:val="0"/>
        </w:rPr>
        <w:t xml:space="preserve"> başlığının içeriğini oluşturabilmek için birimlerden gelen</w:t>
      </w:r>
      <w:r w:rsidR="00E316ED">
        <w:rPr>
          <w:b w:val="0"/>
        </w:rPr>
        <w:t xml:space="preserve"> Birim İç Değerlendirme Raporu</w:t>
      </w:r>
      <w:r w:rsidRPr="00B349D7">
        <w:rPr>
          <w:b w:val="0"/>
        </w:rPr>
        <w:t xml:space="preserve"> </w:t>
      </w:r>
      <w:r w:rsidR="00E316ED">
        <w:rPr>
          <w:b w:val="0"/>
        </w:rPr>
        <w:t>(</w:t>
      </w:r>
      <w:r w:rsidRPr="00B349D7">
        <w:rPr>
          <w:b w:val="0"/>
        </w:rPr>
        <w:t>BİDR</w:t>
      </w:r>
      <w:r w:rsidR="00E316ED">
        <w:rPr>
          <w:b w:val="0"/>
        </w:rPr>
        <w:t>)</w:t>
      </w:r>
      <w:r w:rsidRPr="00B349D7">
        <w:rPr>
          <w:b w:val="0"/>
        </w:rPr>
        <w:t>’</w:t>
      </w:r>
      <w:proofErr w:type="spellStart"/>
      <w:r w:rsidRPr="00B349D7">
        <w:rPr>
          <w:b w:val="0"/>
        </w:rPr>
        <w:t>leri</w:t>
      </w:r>
      <w:proofErr w:type="spellEnd"/>
      <w:r w:rsidRPr="00B349D7">
        <w:rPr>
          <w:b w:val="0"/>
        </w:rPr>
        <w:t xml:space="preserve"> değerlendirmek</w:t>
      </w:r>
      <w:r>
        <w:rPr>
          <w:b w:val="0"/>
        </w:rPr>
        <w:t>,</w:t>
      </w:r>
    </w:p>
    <w:p w:rsidR="00781F2E" w:rsidRPr="006E79E9" w:rsidRDefault="00781F2E" w:rsidP="00AA4E18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r w:rsidRPr="006E79E9">
        <w:rPr>
          <w:b w:val="0"/>
        </w:rPr>
        <w:t>Üniv</w:t>
      </w:r>
      <w:r w:rsidR="00AA4E18">
        <w:rPr>
          <w:b w:val="0"/>
        </w:rPr>
        <w:t>ersite'de yürütülen her türden toplumsal k</w:t>
      </w:r>
      <w:r w:rsidRPr="006E79E9">
        <w:rPr>
          <w:b w:val="0"/>
        </w:rPr>
        <w:t xml:space="preserve">atkı etkinliklerinin başlangıç ve gelişimi içeriklerine yönelik bilgileri kayıt altına alacak sistematik bir </w:t>
      </w:r>
      <w:proofErr w:type="gramStart"/>
      <w:r w:rsidRPr="006E79E9">
        <w:rPr>
          <w:b w:val="0"/>
        </w:rPr>
        <w:t>modül</w:t>
      </w:r>
      <w:proofErr w:type="gramEnd"/>
      <w:r w:rsidRPr="006E79E9">
        <w:rPr>
          <w:b w:val="0"/>
        </w:rPr>
        <w:t xml:space="preserve"> oluşturulmasına rehberlik etmek</w:t>
      </w:r>
      <w:r w:rsidR="00EC44F8">
        <w:rPr>
          <w:b w:val="0"/>
        </w:rPr>
        <w:t>.</w:t>
      </w:r>
    </w:p>
    <w:p w:rsidR="00781F2E" w:rsidRDefault="00781F2E" w:rsidP="00161D82">
      <w:pPr>
        <w:pStyle w:val="Bodytext20"/>
        <w:spacing w:after="120"/>
        <w:jc w:val="left"/>
        <w:rPr>
          <w:b w:val="0"/>
        </w:rPr>
      </w:pPr>
    </w:p>
    <w:p w:rsidR="00342FF5" w:rsidRPr="00342FF5" w:rsidRDefault="00342FF5" w:rsidP="00B94516">
      <w:pPr>
        <w:pStyle w:val="Bodytext20"/>
        <w:spacing w:after="120"/>
        <w:ind w:left="750"/>
        <w:jc w:val="left"/>
      </w:pPr>
      <w:r w:rsidRPr="00342FF5">
        <w:t>Komisyon Başkanın Sorumluluğu ve Görevleri</w:t>
      </w:r>
    </w:p>
    <w:p w:rsidR="00342FF5" w:rsidRDefault="00342FF5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       </w:t>
      </w:r>
      <w:r w:rsidRPr="00554269">
        <w:t>Madde 7 - (1)</w:t>
      </w:r>
      <w:r>
        <w:rPr>
          <w:b w:val="0"/>
        </w:rPr>
        <w:t xml:space="preserve"> </w:t>
      </w:r>
      <w:r w:rsidRPr="00342FF5">
        <w:rPr>
          <w:b w:val="0"/>
        </w:rPr>
        <w:t>Başkan, Komisyonun görevlerini yerine getirmesinde Rektöre karşı sorumludur.</w:t>
      </w:r>
    </w:p>
    <w:p w:rsidR="00342FF5" w:rsidRDefault="0001742D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 </w:t>
      </w:r>
      <w:r w:rsidR="00342FF5" w:rsidRPr="00554269">
        <w:t>(2)</w:t>
      </w:r>
      <w:r w:rsidR="00342FF5">
        <w:rPr>
          <w:b w:val="0"/>
        </w:rPr>
        <w:t xml:space="preserve"> Başkanın görevleri şunlardır:</w:t>
      </w:r>
    </w:p>
    <w:p w:rsidR="00342FF5" w:rsidRDefault="0001742D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</w:t>
      </w:r>
      <w:r w:rsidR="00342FF5">
        <w:rPr>
          <w:b w:val="0"/>
        </w:rPr>
        <w:t xml:space="preserve"> </w:t>
      </w:r>
      <w:r>
        <w:rPr>
          <w:b w:val="0"/>
        </w:rPr>
        <w:t xml:space="preserve"> </w:t>
      </w:r>
      <w:r w:rsidR="00342FF5">
        <w:rPr>
          <w:b w:val="0"/>
        </w:rPr>
        <w:t xml:space="preserve">a) </w:t>
      </w:r>
      <w:r w:rsidR="00342FF5" w:rsidRPr="00342FF5">
        <w:rPr>
          <w:b w:val="0"/>
        </w:rPr>
        <w:t xml:space="preserve">Komisyon toplantılarının gündemini belirlemek, </w:t>
      </w:r>
    </w:p>
    <w:p w:rsidR="00342FF5" w:rsidRDefault="0001742D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 </w:t>
      </w:r>
      <w:r w:rsidR="00342FF5" w:rsidRPr="00342FF5">
        <w:rPr>
          <w:b w:val="0"/>
        </w:rPr>
        <w:t>b)  Her yarıyıl için en az bir kez Komisyonu toplantıya çağırmak,</w:t>
      </w:r>
    </w:p>
    <w:p w:rsidR="00342FF5" w:rsidRDefault="00342FF5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 </w:t>
      </w:r>
      <w:r w:rsidRPr="00342FF5">
        <w:rPr>
          <w:b w:val="0"/>
        </w:rPr>
        <w:t>c)  Gerekli hallerde alt komisyonlar kurmak,</w:t>
      </w:r>
    </w:p>
    <w:p w:rsidR="00342FF5" w:rsidRDefault="00342FF5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 </w:t>
      </w:r>
      <w:r w:rsidRPr="00342FF5">
        <w:rPr>
          <w:b w:val="0"/>
        </w:rPr>
        <w:t xml:space="preserve">d)  Komisyon üyeleri içerisinden yazman üye belirlemek ve görevlendirmek, </w:t>
      </w:r>
    </w:p>
    <w:p w:rsidR="00342FF5" w:rsidRDefault="0001742D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 </w:t>
      </w:r>
      <w:r w:rsidR="00342FF5" w:rsidRPr="00342FF5">
        <w:rPr>
          <w:b w:val="0"/>
        </w:rPr>
        <w:t xml:space="preserve">e) Komisyonun amacı doğrultusunda Üniversite içinden ya da Üniversite dışından ilgilileri Komisyon </w:t>
      </w:r>
      <w:r w:rsidR="00342FF5">
        <w:rPr>
          <w:b w:val="0"/>
        </w:rPr>
        <w:t xml:space="preserve">          </w:t>
      </w:r>
    </w:p>
    <w:p w:rsidR="00DF5EBB" w:rsidRDefault="00EC44F8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     </w:t>
      </w:r>
      <w:proofErr w:type="gramStart"/>
      <w:r w:rsidR="00DF5EBB">
        <w:rPr>
          <w:b w:val="0"/>
        </w:rPr>
        <w:t>toplantılarına</w:t>
      </w:r>
      <w:proofErr w:type="gramEnd"/>
      <w:r w:rsidR="00DF5EBB">
        <w:rPr>
          <w:b w:val="0"/>
        </w:rPr>
        <w:t xml:space="preserve"> davet etmek,</w:t>
      </w:r>
    </w:p>
    <w:p w:rsidR="00DF5EBB" w:rsidRDefault="00342FF5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 </w:t>
      </w:r>
      <w:r w:rsidR="0001742D">
        <w:rPr>
          <w:b w:val="0"/>
        </w:rPr>
        <w:t xml:space="preserve"> </w:t>
      </w:r>
      <w:r w:rsidRPr="00342FF5">
        <w:rPr>
          <w:b w:val="0"/>
        </w:rPr>
        <w:t>f) Komisyon raporlarını Rektöre sunmak,</w:t>
      </w:r>
    </w:p>
    <w:p w:rsidR="00342FF5" w:rsidRDefault="00DF5EBB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</w:t>
      </w:r>
      <w:r w:rsidR="0001742D">
        <w:rPr>
          <w:b w:val="0"/>
        </w:rPr>
        <w:t xml:space="preserve"> </w:t>
      </w:r>
      <w:r w:rsidR="00342FF5" w:rsidRPr="00342FF5">
        <w:rPr>
          <w:b w:val="0"/>
        </w:rPr>
        <w:t xml:space="preserve"> g) Komisyonu Üniversite iç</w:t>
      </w:r>
      <w:r w:rsidR="005D344F">
        <w:rPr>
          <w:b w:val="0"/>
        </w:rPr>
        <w:t>inde ve dışında temsil etmek,</w:t>
      </w:r>
    </w:p>
    <w:p w:rsidR="005D344F" w:rsidRDefault="005D344F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 </w:t>
      </w:r>
      <w:r w:rsidR="0001742D">
        <w:rPr>
          <w:b w:val="0"/>
        </w:rPr>
        <w:t xml:space="preserve"> </w:t>
      </w:r>
      <w:r>
        <w:rPr>
          <w:b w:val="0"/>
        </w:rPr>
        <w:t xml:space="preserve">i) </w:t>
      </w:r>
      <w:r w:rsidRPr="005D344F">
        <w:rPr>
          <w:b w:val="0"/>
        </w:rPr>
        <w:t xml:space="preserve">Yapılan toplantı tutanakları ve çalışmaları elektronik ortamda saklamak ve öğretim yılı sonunda </w:t>
      </w:r>
      <w:r>
        <w:rPr>
          <w:b w:val="0"/>
        </w:rPr>
        <w:t xml:space="preserve">    </w:t>
      </w:r>
    </w:p>
    <w:p w:rsidR="005D344F" w:rsidRDefault="005D344F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     Rektörlüğe e-rapor olarak sunmaktır.</w:t>
      </w:r>
    </w:p>
    <w:p w:rsidR="009C4DE3" w:rsidRPr="00342FF5" w:rsidRDefault="009C4DE3" w:rsidP="00342FF5">
      <w:pPr>
        <w:pStyle w:val="Bodytext20"/>
        <w:spacing w:after="120"/>
        <w:jc w:val="left"/>
        <w:rPr>
          <w:b w:val="0"/>
        </w:rPr>
      </w:pPr>
    </w:p>
    <w:p w:rsidR="00125776" w:rsidRDefault="00342FF5" w:rsidP="0001742D">
      <w:pPr>
        <w:pStyle w:val="Bodytext20"/>
        <w:spacing w:after="120"/>
        <w:ind w:left="750"/>
        <w:jc w:val="left"/>
        <w:rPr>
          <w:b w:val="0"/>
        </w:rPr>
      </w:pPr>
      <w:r>
        <w:rPr>
          <w:b w:val="0"/>
        </w:rPr>
        <w:t xml:space="preserve">            </w:t>
      </w:r>
      <w:r w:rsidR="00B349D7">
        <w:rPr>
          <w:b w:val="0"/>
        </w:rPr>
        <w:t xml:space="preserve">       </w:t>
      </w:r>
    </w:p>
    <w:p w:rsidR="009C4DE3" w:rsidRPr="009C4DE3" w:rsidRDefault="009C4DE3" w:rsidP="009C4DE3">
      <w:pPr>
        <w:pStyle w:val="Bodytext20"/>
        <w:shd w:val="clear" w:color="auto" w:fill="auto"/>
        <w:spacing w:after="120" w:line="240" w:lineRule="auto"/>
        <w:ind w:firstLine="284"/>
      </w:pPr>
      <w:r w:rsidRPr="009C4DE3">
        <w:t>ÜÇÜNCÜ BÖLÜM</w:t>
      </w:r>
    </w:p>
    <w:p w:rsidR="009C4DE3" w:rsidRPr="000A2CA8" w:rsidRDefault="009C4DE3" w:rsidP="009C4DE3">
      <w:pPr>
        <w:pStyle w:val="Bodytext20"/>
        <w:shd w:val="clear" w:color="auto" w:fill="auto"/>
        <w:spacing w:after="120" w:line="240" w:lineRule="auto"/>
        <w:ind w:firstLine="284"/>
      </w:pPr>
      <w:r w:rsidRPr="000A2CA8">
        <w:t>Yürürlük ve Yürütme</w:t>
      </w:r>
    </w:p>
    <w:p w:rsidR="009C4DE3" w:rsidRPr="009C4DE3" w:rsidRDefault="009C4DE3" w:rsidP="009C4DE3">
      <w:pPr>
        <w:pStyle w:val="Bodytext20"/>
        <w:shd w:val="clear" w:color="auto" w:fill="auto"/>
        <w:spacing w:after="120" w:line="240" w:lineRule="auto"/>
        <w:ind w:firstLine="284"/>
        <w:jc w:val="left"/>
      </w:pPr>
      <w:r w:rsidRPr="009C4DE3">
        <w:t xml:space="preserve">Yürürlük </w:t>
      </w:r>
    </w:p>
    <w:p w:rsidR="009C4DE3" w:rsidRDefault="000A2CA8" w:rsidP="009C4DE3">
      <w:pPr>
        <w:pStyle w:val="Bodytext20"/>
        <w:shd w:val="clear" w:color="auto" w:fill="auto"/>
        <w:spacing w:after="120" w:line="240" w:lineRule="auto"/>
        <w:ind w:firstLine="284"/>
        <w:jc w:val="left"/>
        <w:rPr>
          <w:b w:val="0"/>
        </w:rPr>
      </w:pPr>
      <w:r>
        <w:t>Madde 8</w:t>
      </w:r>
      <w:r w:rsidR="009C4DE3" w:rsidRPr="00554269">
        <w:t xml:space="preserve"> - (1)</w:t>
      </w:r>
      <w:r w:rsidR="009C4DE3" w:rsidRPr="009C4DE3">
        <w:rPr>
          <w:b w:val="0"/>
        </w:rPr>
        <w:t xml:space="preserve"> Bu Yönerge, </w:t>
      </w:r>
      <w:r w:rsidR="009C4DE3">
        <w:rPr>
          <w:b w:val="0"/>
        </w:rPr>
        <w:t xml:space="preserve">Antalya Bilim </w:t>
      </w:r>
      <w:r w:rsidR="009C4DE3" w:rsidRPr="009C4DE3">
        <w:rPr>
          <w:b w:val="0"/>
        </w:rPr>
        <w:t>Üniversitesi Senatosu'nda kabul edildiği tarihte yürürlüğe</w:t>
      </w:r>
    </w:p>
    <w:p w:rsidR="00554269" w:rsidRDefault="00554269" w:rsidP="009C4DE3">
      <w:pPr>
        <w:pStyle w:val="Bodytext20"/>
        <w:shd w:val="clear" w:color="auto" w:fill="auto"/>
        <w:spacing w:after="120" w:line="240" w:lineRule="auto"/>
        <w:ind w:firstLine="284"/>
        <w:jc w:val="left"/>
        <w:rPr>
          <w:b w:val="0"/>
        </w:rPr>
      </w:pPr>
      <w:proofErr w:type="gramStart"/>
      <w:r>
        <w:rPr>
          <w:b w:val="0"/>
        </w:rPr>
        <w:t>girer</w:t>
      </w:r>
      <w:proofErr w:type="gramEnd"/>
      <w:r>
        <w:rPr>
          <w:b w:val="0"/>
        </w:rPr>
        <w:t>.</w:t>
      </w:r>
      <w:r w:rsidR="009471DA">
        <w:rPr>
          <w:b w:val="0"/>
        </w:rPr>
        <w:t xml:space="preserve">  </w:t>
      </w:r>
    </w:p>
    <w:p w:rsidR="009C4DE3" w:rsidRDefault="009C4DE3" w:rsidP="009C4DE3">
      <w:pPr>
        <w:pStyle w:val="Bodytext20"/>
        <w:shd w:val="clear" w:color="auto" w:fill="auto"/>
        <w:spacing w:after="120" w:line="240" w:lineRule="auto"/>
        <w:ind w:firstLine="284"/>
        <w:jc w:val="left"/>
        <w:rPr>
          <w:b w:val="0"/>
        </w:rPr>
      </w:pPr>
      <w:r w:rsidRPr="00554269">
        <w:t>(2)</w:t>
      </w:r>
      <w:r w:rsidRPr="009C4DE3">
        <w:rPr>
          <w:b w:val="0"/>
        </w:rPr>
        <w:t xml:space="preserve"> Bu Yönergede yer almayan hususlarda Rektör yetkilidir.   </w:t>
      </w:r>
    </w:p>
    <w:p w:rsidR="009C4DE3" w:rsidRPr="009C4DE3" w:rsidRDefault="009C4DE3" w:rsidP="009C4DE3">
      <w:pPr>
        <w:pStyle w:val="Bodytext20"/>
        <w:shd w:val="clear" w:color="auto" w:fill="auto"/>
        <w:spacing w:after="120" w:line="240" w:lineRule="auto"/>
        <w:ind w:firstLine="284"/>
        <w:jc w:val="left"/>
      </w:pPr>
      <w:r w:rsidRPr="009C4DE3">
        <w:lastRenderedPageBreak/>
        <w:t xml:space="preserve">Yürütme </w:t>
      </w:r>
    </w:p>
    <w:p w:rsidR="00125776" w:rsidRPr="009C4DE3" w:rsidRDefault="000A2CA8" w:rsidP="009C4DE3">
      <w:pPr>
        <w:pStyle w:val="Bodytext20"/>
        <w:shd w:val="clear" w:color="auto" w:fill="auto"/>
        <w:spacing w:after="120" w:line="240" w:lineRule="auto"/>
        <w:ind w:firstLine="284"/>
        <w:jc w:val="left"/>
        <w:rPr>
          <w:b w:val="0"/>
        </w:rPr>
      </w:pPr>
      <w:r>
        <w:rPr>
          <w:b w:val="0"/>
        </w:rPr>
        <w:t xml:space="preserve"> </w:t>
      </w:r>
      <w:r w:rsidRPr="000A2CA8">
        <w:t>Madde 9</w:t>
      </w:r>
      <w:r w:rsidR="009C4DE3" w:rsidRPr="000A2CA8">
        <w:t xml:space="preserve"> - (1)</w:t>
      </w:r>
      <w:r w:rsidR="009C4DE3" w:rsidRPr="009C4DE3">
        <w:rPr>
          <w:b w:val="0"/>
        </w:rPr>
        <w:t xml:space="preserve"> Bu yönerge hükümleri </w:t>
      </w:r>
      <w:r w:rsidR="009C4DE3">
        <w:rPr>
          <w:b w:val="0"/>
        </w:rPr>
        <w:t xml:space="preserve">Antalya Bilim </w:t>
      </w:r>
      <w:r w:rsidR="009C4DE3" w:rsidRPr="009C4DE3">
        <w:rPr>
          <w:b w:val="0"/>
        </w:rPr>
        <w:t>Üniversitesi Rektörü tarafından yürütülür.</w:t>
      </w:r>
    </w:p>
    <w:p w:rsidR="00125776" w:rsidRPr="00125776" w:rsidRDefault="00125776" w:rsidP="00125776">
      <w:pPr>
        <w:pStyle w:val="Bodytext20"/>
        <w:shd w:val="clear" w:color="auto" w:fill="auto"/>
        <w:spacing w:after="120" w:line="240" w:lineRule="auto"/>
        <w:ind w:firstLine="284"/>
        <w:jc w:val="left"/>
        <w:rPr>
          <w:b w:val="0"/>
        </w:rPr>
      </w:pPr>
    </w:p>
    <w:sectPr w:rsidR="00125776" w:rsidRPr="00125776" w:rsidSect="004F58BE">
      <w:footerReference w:type="default" r:id="rId10"/>
      <w:footerReference w:type="first" r:id="rId11"/>
      <w:footnotePr>
        <w:numRestart w:val="eachPage"/>
      </w:footnotePr>
      <w:type w:val="continuous"/>
      <w:pgSz w:w="11909" w:h="16838"/>
      <w:pgMar w:top="1134" w:right="1134" w:bottom="1134" w:left="1134" w:header="0" w:footer="1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344" w:rsidRDefault="001C5344">
      <w:r>
        <w:separator/>
      </w:r>
    </w:p>
  </w:endnote>
  <w:endnote w:type="continuationSeparator" w:id="0">
    <w:p w:rsidR="001C5344" w:rsidRDefault="001C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9420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sdt>
        <w:sdtPr>
          <w:rPr>
            <w:rFonts w:ascii="Times New Roman" w:hAnsi="Times New Roman" w:cs="Times New Roman"/>
            <w:sz w:val="20"/>
          </w:rPr>
          <w:id w:val="-410385081"/>
          <w:docPartObj>
            <w:docPartGallery w:val="Page Numbers (Top of Page)"/>
            <w:docPartUnique/>
          </w:docPartObj>
        </w:sdtPr>
        <w:sdtEndPr/>
        <w:sdtContent>
          <w:p w:rsidR="003640AC" w:rsidRDefault="004F58BE">
            <w:pPr>
              <w:pStyle w:val="AltBilgi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F58BE">
              <w:rPr>
                <w:rFonts w:ascii="Times New Roman" w:hAnsi="Times New Roman" w:cs="Times New Roman"/>
                <w:sz w:val="20"/>
              </w:rPr>
              <w:t xml:space="preserve">Sayfa </w:t>
            </w:r>
            <w:r w:rsidRPr="004F58BE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4F58BE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4F58BE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0B0A8F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Pr="004F58BE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4F58BE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4F58BE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4F58BE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4F58BE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0B0A8F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Pr="004F58BE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  <w:p w:rsidR="003640AC" w:rsidRPr="00E316ED" w:rsidRDefault="003640AC" w:rsidP="003640AC">
            <w:pPr>
              <w:jc w:val="both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E316ED">
              <w:rPr>
                <w:rFonts w:ascii="Tahoma" w:hAnsi="Tahoma" w:cs="Tahoma"/>
                <w:sz w:val="16"/>
                <w:szCs w:val="16"/>
              </w:rPr>
              <w:t xml:space="preserve">Form No: ÜY-FR-0013 Yayın Tarihi:03.05.2018 </w:t>
            </w:r>
            <w:proofErr w:type="spellStart"/>
            <w:proofErr w:type="gramStart"/>
            <w:r w:rsidRPr="00E316ED">
              <w:rPr>
                <w:rFonts w:ascii="Tahoma" w:hAnsi="Tahoma" w:cs="Tahoma"/>
                <w:sz w:val="16"/>
                <w:szCs w:val="16"/>
              </w:rPr>
              <w:t>Değ.No</w:t>
            </w:r>
            <w:proofErr w:type="spellEnd"/>
            <w:proofErr w:type="gramEnd"/>
            <w:r w:rsidRPr="00E316ED">
              <w:rPr>
                <w:rFonts w:ascii="Tahoma" w:hAnsi="Tahoma" w:cs="Tahoma"/>
                <w:sz w:val="16"/>
                <w:szCs w:val="16"/>
              </w:rPr>
              <w:t>: 0 Değ. Tarihi:</w:t>
            </w:r>
          </w:p>
          <w:p w:rsidR="004F58BE" w:rsidRPr="004F58BE" w:rsidRDefault="001C5344">
            <w:pPr>
              <w:pStyle w:val="AltBilgi"/>
              <w:jc w:val="center"/>
              <w:rPr>
                <w:rFonts w:ascii="Times New Roman" w:hAnsi="Times New Roman" w:cs="Times New Roman"/>
                <w:sz w:val="20"/>
              </w:rPr>
            </w:pPr>
          </w:p>
        </w:sdtContent>
      </w:sdt>
    </w:sdtContent>
  </w:sdt>
  <w:p w:rsidR="004F58BE" w:rsidRDefault="004F58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9522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F58BE" w:rsidRDefault="004F58BE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6390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F58BE" w:rsidRDefault="004F58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344" w:rsidRDefault="001C5344">
      <w:r>
        <w:separator/>
      </w:r>
    </w:p>
  </w:footnote>
  <w:footnote w:type="continuationSeparator" w:id="0">
    <w:p w:rsidR="001C5344" w:rsidRDefault="001C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3A2"/>
    <w:multiLevelType w:val="hybridMultilevel"/>
    <w:tmpl w:val="5ABC3440"/>
    <w:lvl w:ilvl="0" w:tplc="CDDC2A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3A99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4240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085F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5E8C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98D9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9274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5E2C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02F5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2930B72"/>
    <w:multiLevelType w:val="hybridMultilevel"/>
    <w:tmpl w:val="0464CD9C"/>
    <w:lvl w:ilvl="0" w:tplc="91E8F13A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27907EF7"/>
    <w:multiLevelType w:val="hybridMultilevel"/>
    <w:tmpl w:val="18AE4E8E"/>
    <w:lvl w:ilvl="0" w:tplc="27BEF1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86A1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74CF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22BF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C05E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98F5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CCF1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50B5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44FB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A661543"/>
    <w:multiLevelType w:val="hybridMultilevel"/>
    <w:tmpl w:val="0464CD9C"/>
    <w:lvl w:ilvl="0" w:tplc="91E8F13A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5CE03A9F"/>
    <w:multiLevelType w:val="hybridMultilevel"/>
    <w:tmpl w:val="6C7EBB1C"/>
    <w:lvl w:ilvl="0" w:tplc="CC4E49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806F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101D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945E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1AAB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F80D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44C6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146C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D685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1AC51A1"/>
    <w:multiLevelType w:val="hybridMultilevel"/>
    <w:tmpl w:val="86E6CF5E"/>
    <w:lvl w:ilvl="0" w:tplc="C29C71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1C84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AA7B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8E01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5C1A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2485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1ED4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ECF2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6EBD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F8"/>
    <w:rsid w:val="0001742D"/>
    <w:rsid w:val="000970E3"/>
    <w:rsid w:val="000A2CA8"/>
    <w:rsid w:val="000B0A8F"/>
    <w:rsid w:val="000C5700"/>
    <w:rsid w:val="000C5820"/>
    <w:rsid w:val="000D61BC"/>
    <w:rsid w:val="000E1B21"/>
    <w:rsid w:val="00125776"/>
    <w:rsid w:val="00135DF0"/>
    <w:rsid w:val="0013694E"/>
    <w:rsid w:val="00161D82"/>
    <w:rsid w:val="0017251B"/>
    <w:rsid w:val="00177BF4"/>
    <w:rsid w:val="001C161A"/>
    <w:rsid w:val="001C5344"/>
    <w:rsid w:val="001F1156"/>
    <w:rsid w:val="00241E1B"/>
    <w:rsid w:val="002878CB"/>
    <w:rsid w:val="002B7024"/>
    <w:rsid w:val="00342FF5"/>
    <w:rsid w:val="003640AC"/>
    <w:rsid w:val="00366FB4"/>
    <w:rsid w:val="003B0548"/>
    <w:rsid w:val="003C53DF"/>
    <w:rsid w:val="003C7440"/>
    <w:rsid w:val="003F2E40"/>
    <w:rsid w:val="00404E1B"/>
    <w:rsid w:val="00410A83"/>
    <w:rsid w:val="00427CDD"/>
    <w:rsid w:val="00445D78"/>
    <w:rsid w:val="00456147"/>
    <w:rsid w:val="0046134D"/>
    <w:rsid w:val="00467C68"/>
    <w:rsid w:val="00477BB9"/>
    <w:rsid w:val="004F58BE"/>
    <w:rsid w:val="0050416D"/>
    <w:rsid w:val="0052559E"/>
    <w:rsid w:val="00531D22"/>
    <w:rsid w:val="00554269"/>
    <w:rsid w:val="00581C00"/>
    <w:rsid w:val="005D344F"/>
    <w:rsid w:val="005E05DE"/>
    <w:rsid w:val="00621E05"/>
    <w:rsid w:val="00664A0D"/>
    <w:rsid w:val="0069500F"/>
    <w:rsid w:val="006961D0"/>
    <w:rsid w:val="006E09EB"/>
    <w:rsid w:val="006E79E9"/>
    <w:rsid w:val="0071311F"/>
    <w:rsid w:val="00742CEA"/>
    <w:rsid w:val="007431B4"/>
    <w:rsid w:val="0075742A"/>
    <w:rsid w:val="00763727"/>
    <w:rsid w:val="00781F2E"/>
    <w:rsid w:val="0078420F"/>
    <w:rsid w:val="00797EEA"/>
    <w:rsid w:val="007B0A72"/>
    <w:rsid w:val="007B602D"/>
    <w:rsid w:val="007C78E4"/>
    <w:rsid w:val="007D0E24"/>
    <w:rsid w:val="008167B2"/>
    <w:rsid w:val="008272F7"/>
    <w:rsid w:val="008D6EC1"/>
    <w:rsid w:val="008E0F92"/>
    <w:rsid w:val="008E6BA7"/>
    <w:rsid w:val="00932DFF"/>
    <w:rsid w:val="00946686"/>
    <w:rsid w:val="009471DA"/>
    <w:rsid w:val="00996915"/>
    <w:rsid w:val="009B1104"/>
    <w:rsid w:val="009B53F4"/>
    <w:rsid w:val="009C4DE3"/>
    <w:rsid w:val="00A86E90"/>
    <w:rsid w:val="00AA4E18"/>
    <w:rsid w:val="00AC6EC5"/>
    <w:rsid w:val="00B349D7"/>
    <w:rsid w:val="00B94516"/>
    <w:rsid w:val="00BB5189"/>
    <w:rsid w:val="00BD7C33"/>
    <w:rsid w:val="00BE7B30"/>
    <w:rsid w:val="00C7449B"/>
    <w:rsid w:val="00C81836"/>
    <w:rsid w:val="00CB23A1"/>
    <w:rsid w:val="00CC5959"/>
    <w:rsid w:val="00D07A82"/>
    <w:rsid w:val="00D33C09"/>
    <w:rsid w:val="00D808F8"/>
    <w:rsid w:val="00D84479"/>
    <w:rsid w:val="00DB46B1"/>
    <w:rsid w:val="00DD32B5"/>
    <w:rsid w:val="00DE34D9"/>
    <w:rsid w:val="00DF5EBB"/>
    <w:rsid w:val="00E10535"/>
    <w:rsid w:val="00E13024"/>
    <w:rsid w:val="00E316ED"/>
    <w:rsid w:val="00E3217E"/>
    <w:rsid w:val="00E37DDD"/>
    <w:rsid w:val="00E444B7"/>
    <w:rsid w:val="00E63902"/>
    <w:rsid w:val="00E77D7D"/>
    <w:rsid w:val="00E97451"/>
    <w:rsid w:val="00EA3D96"/>
    <w:rsid w:val="00EA5364"/>
    <w:rsid w:val="00EB1825"/>
    <w:rsid w:val="00EB7844"/>
    <w:rsid w:val="00EC095A"/>
    <w:rsid w:val="00EC44F8"/>
    <w:rsid w:val="00F02FA1"/>
    <w:rsid w:val="00F05081"/>
    <w:rsid w:val="00F179C2"/>
    <w:rsid w:val="00F40CD7"/>
    <w:rsid w:val="00F8204F"/>
    <w:rsid w:val="00FE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EB889-885A-41F1-883E-C9FD6992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Footnote2">
    <w:name w:val="Footnote (2)_"/>
    <w:basedOn w:val="VarsaylanParagrafYazTipi"/>
    <w:link w:val="Footnote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Footnote2TimesNewRoman95ptNotItalic">
    <w:name w:val="Footnote (2) + Times New Roman;9;5 pt;Not Italic"/>
    <w:basedOn w:val="Footno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Footnote">
    <w:name w:val="Footnote_"/>
    <w:basedOn w:val="VarsaylanParagrafYazTipi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VarsaylanParagrafYazTipi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VarsaylanParagrafYazTipi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Bodytext">
    <w:name w:val="Body text_"/>
    <w:basedOn w:val="VarsaylanParagrafYazTipi"/>
    <w:link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Tablecaption">
    <w:name w:val="Table caption_"/>
    <w:basedOn w:val="VarsaylanParagrafYazTipi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1">
    <w:name w:val="Gövde Metni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Heading1">
    <w:name w:val="Heading #1_"/>
    <w:basedOn w:val="VarsaylanParagrafYazTipi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Footnote20">
    <w:name w:val="Footnote (2)"/>
    <w:basedOn w:val="Normal"/>
    <w:link w:val="Footnote2"/>
    <w:pPr>
      <w:shd w:val="clear" w:color="auto" w:fill="FFFFFF"/>
      <w:spacing w:line="240" w:lineRule="exac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6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GvdeMetni2">
    <w:name w:val="Gövde Metni2"/>
    <w:basedOn w:val="Normal"/>
    <w:link w:val="Bodytext"/>
    <w:pPr>
      <w:shd w:val="clear" w:color="auto" w:fill="FFFFFF"/>
      <w:spacing w:before="120" w:after="1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480" w:after="6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A3D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3D96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A3D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3D96"/>
    <w:rPr>
      <w:color w:val="000000"/>
    </w:rPr>
  </w:style>
  <w:style w:type="paragraph" w:styleId="ListeParagraf">
    <w:name w:val="List Paragraph"/>
    <w:basedOn w:val="Normal"/>
    <w:uiPriority w:val="34"/>
    <w:qFormat/>
    <w:rsid w:val="00581C0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257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3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75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3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2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3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1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47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71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7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izimi.vsdx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F49EC-5D98-44F3-9C0A-DF2EDBC4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EK.9.1.YTÜ DERS GÖREVLENDİRME YÖNERGESİ</vt:lpstr>
    </vt:vector>
  </TitlesOfParts>
  <Company>Antalya International University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EK.9.1.YTÜ DERS GÖREVLENDİRME YÖNERGESİ</dc:title>
  <dc:subject/>
  <dc:creator>Antalya Bilim Üniversitesi</dc:creator>
  <cp:keywords/>
  <cp:lastModifiedBy>Onur Ünver</cp:lastModifiedBy>
  <cp:revision>9</cp:revision>
  <dcterms:created xsi:type="dcterms:W3CDTF">2023-05-22T08:54:00Z</dcterms:created>
  <dcterms:modified xsi:type="dcterms:W3CDTF">2023-07-03T12:03:00Z</dcterms:modified>
</cp:coreProperties>
</file>