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5"/>
      </w:tblGrid>
      <w:tr w:rsidR="00D456C6" w:rsidRPr="007064E7" w:rsidTr="00804755">
        <w:trPr>
          <w:trHeight w:val="11665"/>
        </w:trPr>
        <w:tc>
          <w:tcPr>
            <w:tcW w:w="10915" w:type="dxa"/>
          </w:tcPr>
          <w:p w:rsidR="005F19C3" w:rsidRPr="00BC0749" w:rsidRDefault="005F19C3" w:rsidP="00BC0749">
            <w:pPr>
              <w:pStyle w:val="stBilgi1"/>
              <w:tabs>
                <w:tab w:val="clear" w:pos="4536"/>
                <w:tab w:val="clear" w:pos="9072"/>
                <w:tab w:val="left" w:pos="567"/>
                <w:tab w:val="left" w:pos="4320"/>
                <w:tab w:val="left" w:pos="10348"/>
              </w:tabs>
              <w:ind w:right="282"/>
              <w:jc w:val="both"/>
              <w:rPr>
                <w:sz w:val="22"/>
                <w:szCs w:val="22"/>
              </w:rPr>
            </w:pPr>
          </w:p>
          <w:p w:rsidR="005F19C3" w:rsidRPr="00BC0749" w:rsidRDefault="005F19C3" w:rsidP="005F19C3">
            <w:pPr>
              <w:rPr>
                <w:b/>
                <w:sz w:val="22"/>
                <w:szCs w:val="22"/>
              </w:rPr>
            </w:pPr>
            <w:r w:rsidRPr="00BC0749">
              <w:rPr>
                <w:b/>
                <w:color w:val="FF0000"/>
                <w:sz w:val="22"/>
                <w:szCs w:val="22"/>
              </w:rPr>
              <w:t>1-AMAÇ</w:t>
            </w:r>
            <w:r w:rsidRPr="00BC0749">
              <w:rPr>
                <w:b/>
                <w:sz w:val="22"/>
                <w:szCs w:val="22"/>
              </w:rPr>
              <w:tab/>
            </w:r>
            <w:r w:rsidRPr="00BC0749">
              <w:rPr>
                <w:b/>
                <w:sz w:val="22"/>
                <w:szCs w:val="22"/>
              </w:rPr>
              <w:tab/>
            </w:r>
            <w:r w:rsidRPr="00BC0749">
              <w:rPr>
                <w:b/>
                <w:sz w:val="22"/>
                <w:szCs w:val="22"/>
              </w:rPr>
              <w:tab/>
            </w:r>
            <w:r w:rsidRPr="00BC0749">
              <w:rPr>
                <w:b/>
                <w:sz w:val="22"/>
                <w:szCs w:val="22"/>
              </w:rPr>
              <w:tab/>
            </w:r>
            <w:r w:rsidRPr="00BC0749">
              <w:rPr>
                <w:b/>
                <w:sz w:val="22"/>
                <w:szCs w:val="22"/>
              </w:rPr>
              <w:tab/>
            </w:r>
            <w:r w:rsidRPr="00BC0749">
              <w:rPr>
                <w:b/>
                <w:sz w:val="22"/>
                <w:szCs w:val="22"/>
              </w:rPr>
              <w:tab/>
            </w:r>
            <w:r w:rsidRPr="00BC0749">
              <w:rPr>
                <w:b/>
                <w:sz w:val="22"/>
                <w:szCs w:val="22"/>
              </w:rPr>
              <w:tab/>
            </w:r>
            <w:r w:rsidRPr="00BC0749">
              <w:rPr>
                <w:b/>
                <w:sz w:val="22"/>
                <w:szCs w:val="22"/>
              </w:rPr>
              <w:tab/>
            </w:r>
            <w:r w:rsidRPr="00BC0749">
              <w:rPr>
                <w:b/>
                <w:sz w:val="22"/>
                <w:szCs w:val="22"/>
              </w:rPr>
              <w:tab/>
            </w:r>
            <w:r w:rsidRPr="00BC0749">
              <w:rPr>
                <w:b/>
                <w:sz w:val="22"/>
                <w:szCs w:val="22"/>
              </w:rPr>
              <w:tab/>
            </w:r>
          </w:p>
          <w:p w:rsidR="00BC0749" w:rsidRPr="00BC0749" w:rsidRDefault="00BC0749" w:rsidP="00BC0749">
            <w:pPr>
              <w:tabs>
                <w:tab w:val="left" w:pos="284"/>
                <w:tab w:val="left" w:pos="426"/>
              </w:tabs>
              <w:spacing w:line="360" w:lineRule="auto"/>
              <w:jc w:val="both"/>
              <w:rPr>
                <w:rFonts w:cs="Arial"/>
                <w:b/>
                <w:sz w:val="22"/>
                <w:szCs w:val="22"/>
              </w:rPr>
            </w:pPr>
            <w:r w:rsidRPr="00BC0749">
              <w:rPr>
                <w:rFonts w:cs="Arial"/>
                <w:sz w:val="22"/>
                <w:szCs w:val="22"/>
              </w:rPr>
              <w:t xml:space="preserve">ISO 22000 standardında belirtilen gerekliliklerin yerine getirildiğine dair somut delillerin sunulmasını sağlamaktır. </w:t>
            </w:r>
            <w:r w:rsidRPr="00BC0749">
              <w:rPr>
                <w:rFonts w:cs="Arial"/>
                <w:b/>
                <w:sz w:val="22"/>
                <w:szCs w:val="22"/>
              </w:rPr>
              <w:t xml:space="preserve"> </w:t>
            </w:r>
          </w:p>
          <w:p w:rsidR="005F19C3" w:rsidRPr="00BC0749" w:rsidRDefault="005F19C3" w:rsidP="005F19C3">
            <w:pPr>
              <w:rPr>
                <w:sz w:val="22"/>
                <w:szCs w:val="22"/>
              </w:rPr>
            </w:pP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p>
          <w:p w:rsidR="00C92D8F" w:rsidRDefault="005F19C3" w:rsidP="005F19C3">
            <w:pPr>
              <w:rPr>
                <w:b/>
                <w:sz w:val="22"/>
                <w:szCs w:val="22"/>
              </w:rPr>
            </w:pPr>
            <w:r w:rsidRPr="00BC0749">
              <w:rPr>
                <w:b/>
                <w:color w:val="FF0000"/>
                <w:sz w:val="22"/>
                <w:szCs w:val="22"/>
              </w:rPr>
              <w:t>2-KAPSAM</w:t>
            </w:r>
            <w:r w:rsidRPr="00BC0749">
              <w:rPr>
                <w:b/>
                <w:sz w:val="22"/>
                <w:szCs w:val="22"/>
              </w:rPr>
              <w:tab/>
            </w:r>
            <w:r w:rsidRPr="00BC0749">
              <w:rPr>
                <w:b/>
                <w:sz w:val="22"/>
                <w:szCs w:val="22"/>
              </w:rPr>
              <w:tab/>
            </w:r>
          </w:p>
          <w:p w:rsidR="00C92D8F" w:rsidRDefault="00C92D8F" w:rsidP="00C92D8F">
            <w:pPr>
              <w:rPr>
                <w:b/>
                <w:sz w:val="22"/>
                <w:szCs w:val="22"/>
              </w:rPr>
            </w:pPr>
            <w:r w:rsidRPr="00C92D8F">
              <w:rPr>
                <w:sz w:val="22"/>
                <w:szCs w:val="16"/>
              </w:rPr>
              <w:t>Antalya Bilim Üniversitesi GGYS ve Yemekhane Hizmetleri Birimi süreçlerini kapsar.</w:t>
            </w:r>
            <w:r w:rsidR="005F19C3" w:rsidRPr="00C92D8F">
              <w:rPr>
                <w:b/>
                <w:sz w:val="32"/>
                <w:szCs w:val="22"/>
              </w:rPr>
              <w:tab/>
            </w:r>
            <w:r>
              <w:rPr>
                <w:b/>
                <w:sz w:val="22"/>
                <w:szCs w:val="22"/>
              </w:rPr>
              <w:tab/>
            </w:r>
            <w:r>
              <w:rPr>
                <w:b/>
                <w:sz w:val="22"/>
                <w:szCs w:val="22"/>
              </w:rPr>
              <w:tab/>
            </w:r>
          </w:p>
          <w:p w:rsidR="005F19C3" w:rsidRPr="00C92D8F" w:rsidRDefault="00BC0749" w:rsidP="00C92D8F">
            <w:pPr>
              <w:rPr>
                <w:b/>
                <w:sz w:val="22"/>
                <w:szCs w:val="22"/>
              </w:rPr>
            </w:pPr>
            <w:r w:rsidRPr="00BC0749">
              <w:rPr>
                <w:rFonts w:cs="Arial"/>
                <w:sz w:val="22"/>
                <w:szCs w:val="22"/>
              </w:rPr>
              <w:t xml:space="preserve">Ön gereksinim planları, izlenebilirlik sistemi, Tehlike analizinde belirlenen kontrol önlemlerinin doğrulanması ve geçerli kılınması, Gıda güvenliği yönetim sisteminin güncellenmesini kapsar. </w:t>
            </w:r>
            <w:r w:rsidR="005F19C3" w:rsidRPr="00BC0749">
              <w:rPr>
                <w:sz w:val="22"/>
                <w:szCs w:val="22"/>
              </w:rPr>
              <w:tab/>
            </w:r>
            <w:r w:rsidR="005F19C3" w:rsidRPr="00BC0749">
              <w:rPr>
                <w:sz w:val="22"/>
                <w:szCs w:val="22"/>
              </w:rPr>
              <w:tab/>
            </w:r>
            <w:r w:rsidR="005F19C3" w:rsidRPr="00BC0749">
              <w:rPr>
                <w:sz w:val="22"/>
                <w:szCs w:val="22"/>
              </w:rPr>
              <w:tab/>
            </w:r>
            <w:r w:rsidR="005F19C3" w:rsidRPr="00BC0749">
              <w:rPr>
                <w:sz w:val="22"/>
                <w:szCs w:val="22"/>
              </w:rPr>
              <w:tab/>
            </w:r>
            <w:r w:rsidR="005F19C3" w:rsidRPr="00BC0749">
              <w:rPr>
                <w:sz w:val="22"/>
                <w:szCs w:val="22"/>
              </w:rPr>
              <w:tab/>
            </w:r>
            <w:r w:rsidR="005F19C3" w:rsidRPr="00BC0749">
              <w:rPr>
                <w:sz w:val="22"/>
                <w:szCs w:val="22"/>
              </w:rPr>
              <w:tab/>
            </w:r>
            <w:r w:rsidR="005F19C3" w:rsidRPr="00BC0749">
              <w:rPr>
                <w:sz w:val="22"/>
                <w:szCs w:val="22"/>
              </w:rPr>
              <w:tab/>
            </w:r>
            <w:r w:rsidR="005F19C3" w:rsidRPr="00BC0749">
              <w:rPr>
                <w:sz w:val="22"/>
                <w:szCs w:val="22"/>
              </w:rPr>
              <w:tab/>
            </w:r>
          </w:p>
          <w:p w:rsidR="001D7712" w:rsidRPr="00BC0749" w:rsidRDefault="001D7712" w:rsidP="005F19C3">
            <w:pPr>
              <w:rPr>
                <w:color w:val="FF0000"/>
                <w:sz w:val="22"/>
                <w:szCs w:val="22"/>
              </w:rPr>
            </w:pPr>
          </w:p>
          <w:p w:rsidR="005F19C3" w:rsidRPr="00BC0749" w:rsidRDefault="005F19C3" w:rsidP="005F19C3">
            <w:pPr>
              <w:rPr>
                <w:b/>
                <w:sz w:val="22"/>
                <w:szCs w:val="22"/>
              </w:rPr>
            </w:pPr>
            <w:r w:rsidRPr="00BC0749">
              <w:rPr>
                <w:b/>
                <w:color w:val="FF0000"/>
                <w:sz w:val="22"/>
                <w:szCs w:val="22"/>
              </w:rPr>
              <w:t>3-SORUMLULUKLAR</w:t>
            </w:r>
            <w:r w:rsidRPr="00BC0749">
              <w:rPr>
                <w:b/>
                <w:sz w:val="22"/>
                <w:szCs w:val="22"/>
              </w:rPr>
              <w:tab/>
            </w:r>
            <w:r w:rsidRPr="00BC0749">
              <w:rPr>
                <w:b/>
                <w:sz w:val="22"/>
                <w:szCs w:val="22"/>
              </w:rPr>
              <w:tab/>
            </w:r>
            <w:r w:rsidRPr="00BC0749">
              <w:rPr>
                <w:b/>
                <w:sz w:val="22"/>
                <w:szCs w:val="22"/>
              </w:rPr>
              <w:tab/>
            </w:r>
            <w:r w:rsidRPr="00BC0749">
              <w:rPr>
                <w:b/>
                <w:sz w:val="22"/>
                <w:szCs w:val="22"/>
              </w:rPr>
              <w:tab/>
            </w:r>
            <w:r w:rsidRPr="00BC0749">
              <w:rPr>
                <w:b/>
                <w:sz w:val="22"/>
                <w:szCs w:val="22"/>
              </w:rPr>
              <w:tab/>
            </w:r>
            <w:r w:rsidRPr="00BC0749">
              <w:rPr>
                <w:b/>
                <w:sz w:val="22"/>
                <w:szCs w:val="22"/>
              </w:rPr>
              <w:tab/>
            </w:r>
            <w:r w:rsidRPr="00BC0749">
              <w:rPr>
                <w:b/>
                <w:sz w:val="22"/>
                <w:szCs w:val="22"/>
              </w:rPr>
              <w:tab/>
            </w:r>
            <w:r w:rsidRPr="00BC0749">
              <w:rPr>
                <w:b/>
                <w:sz w:val="22"/>
                <w:szCs w:val="22"/>
              </w:rPr>
              <w:tab/>
            </w:r>
            <w:r w:rsidRPr="00BC0749">
              <w:rPr>
                <w:b/>
                <w:sz w:val="22"/>
                <w:szCs w:val="22"/>
              </w:rPr>
              <w:tab/>
            </w:r>
            <w:r w:rsidRPr="00BC0749">
              <w:rPr>
                <w:b/>
                <w:sz w:val="22"/>
                <w:szCs w:val="22"/>
              </w:rPr>
              <w:tab/>
            </w:r>
          </w:p>
          <w:p w:rsidR="00BC0749" w:rsidRPr="00BC0749" w:rsidRDefault="00BC0749" w:rsidP="00BC0749">
            <w:pPr>
              <w:tabs>
                <w:tab w:val="left" w:pos="284"/>
                <w:tab w:val="left" w:pos="426"/>
              </w:tabs>
              <w:spacing w:line="360" w:lineRule="auto"/>
              <w:jc w:val="both"/>
              <w:rPr>
                <w:rFonts w:cs="Arial"/>
                <w:sz w:val="22"/>
                <w:szCs w:val="22"/>
              </w:rPr>
            </w:pPr>
            <w:r w:rsidRPr="00BC0749">
              <w:rPr>
                <w:rFonts w:cs="Arial"/>
                <w:sz w:val="22"/>
                <w:szCs w:val="22"/>
              </w:rPr>
              <w:t xml:space="preserve">Gıda güvenliği ekibi, kontrol önlemlerini ve/veya kontrol önlem </w:t>
            </w:r>
            <w:proofErr w:type="gramStart"/>
            <w:r w:rsidRPr="00BC0749">
              <w:rPr>
                <w:rFonts w:cs="Arial"/>
                <w:sz w:val="22"/>
                <w:szCs w:val="22"/>
              </w:rPr>
              <w:t>kombinasyonlarını</w:t>
            </w:r>
            <w:proofErr w:type="gramEnd"/>
            <w:r w:rsidRPr="00BC0749">
              <w:rPr>
                <w:rFonts w:cs="Arial"/>
                <w:sz w:val="22"/>
                <w:szCs w:val="22"/>
              </w:rPr>
              <w:t xml:space="preserve"> geçerli kılmak ve gıda güvenliği yönetim sistemini doğrulamak ve geliştirmek için ihtiyaç duyulan süreçleri planlamalı ve yerine getirmelidir. </w:t>
            </w:r>
          </w:p>
          <w:p w:rsidR="005F19C3" w:rsidRPr="00BC0749" w:rsidRDefault="005F19C3" w:rsidP="005F19C3">
            <w:pPr>
              <w:rPr>
                <w:sz w:val="22"/>
                <w:szCs w:val="22"/>
              </w:rPr>
            </w:pP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p>
          <w:p w:rsidR="00BC0749" w:rsidRPr="00BC0749" w:rsidRDefault="005F19C3" w:rsidP="005F19C3">
            <w:pPr>
              <w:rPr>
                <w:b/>
                <w:color w:val="FF0000"/>
                <w:sz w:val="22"/>
                <w:szCs w:val="22"/>
              </w:rPr>
            </w:pPr>
            <w:r w:rsidRPr="00BC0749">
              <w:rPr>
                <w:b/>
                <w:color w:val="FF0000"/>
                <w:sz w:val="22"/>
                <w:szCs w:val="22"/>
              </w:rPr>
              <w:t>4-</w:t>
            </w:r>
            <w:r w:rsidR="00BC0749" w:rsidRPr="00BC0749">
              <w:rPr>
                <w:b/>
                <w:color w:val="FF0000"/>
                <w:sz w:val="22"/>
                <w:szCs w:val="22"/>
              </w:rPr>
              <w:t>TANIMLAR</w:t>
            </w:r>
          </w:p>
          <w:p w:rsidR="005F19C3" w:rsidRPr="00BC0749" w:rsidRDefault="005F19C3" w:rsidP="005F19C3">
            <w:pPr>
              <w:rPr>
                <w:sz w:val="22"/>
                <w:szCs w:val="22"/>
              </w:rPr>
            </w:pP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p>
          <w:p w:rsidR="00BC0749" w:rsidRPr="00BC0749" w:rsidRDefault="00BC0749" w:rsidP="00BC0749">
            <w:pPr>
              <w:tabs>
                <w:tab w:val="left" w:pos="284"/>
                <w:tab w:val="left" w:pos="426"/>
              </w:tabs>
              <w:spacing w:line="360" w:lineRule="auto"/>
              <w:jc w:val="both"/>
              <w:rPr>
                <w:rFonts w:cs="Arial"/>
                <w:b/>
                <w:sz w:val="22"/>
                <w:szCs w:val="22"/>
              </w:rPr>
            </w:pPr>
            <w:r w:rsidRPr="00BC0749">
              <w:rPr>
                <w:rFonts w:cs="Arial"/>
                <w:b/>
                <w:sz w:val="22"/>
                <w:szCs w:val="22"/>
              </w:rPr>
              <w:t xml:space="preserve">Geçerli kılma; </w:t>
            </w:r>
            <w:r w:rsidRPr="00BC0749">
              <w:rPr>
                <w:rFonts w:cs="Arial"/>
                <w:sz w:val="22"/>
                <w:szCs w:val="22"/>
              </w:rPr>
              <w:t>bir kontrol tedbirinin (OÖGP-HACCP) önemli gıda güvenliği tehlikesini etkili şekilde kontrol etme becerisine sahip olduğuna dair kanıt elde edilmesidir. Etkinlikten önce uygulanır ve amaçlanan istenen sonuçların elde edilebilme becerisi hakkında bilgi sağlar;</w:t>
            </w:r>
            <w:r w:rsidRPr="00BC0749">
              <w:rPr>
                <w:rFonts w:cs="Arial"/>
                <w:b/>
                <w:sz w:val="22"/>
                <w:szCs w:val="22"/>
              </w:rPr>
              <w:t xml:space="preserve"> </w:t>
            </w:r>
          </w:p>
          <w:p w:rsidR="00BC0749" w:rsidRPr="00BC0749" w:rsidRDefault="00BC0749" w:rsidP="00BC0749">
            <w:pPr>
              <w:tabs>
                <w:tab w:val="left" w:pos="284"/>
                <w:tab w:val="left" w:pos="426"/>
              </w:tabs>
              <w:spacing w:line="360" w:lineRule="auto"/>
              <w:jc w:val="both"/>
              <w:rPr>
                <w:rFonts w:cs="Arial"/>
                <w:sz w:val="22"/>
                <w:szCs w:val="22"/>
              </w:rPr>
            </w:pPr>
            <w:r w:rsidRPr="00BC0749">
              <w:rPr>
                <w:rFonts w:cs="Arial"/>
                <w:b/>
                <w:sz w:val="22"/>
                <w:szCs w:val="22"/>
              </w:rPr>
              <w:t>İzleme</w:t>
            </w:r>
            <w:r w:rsidRPr="00BC0749">
              <w:rPr>
                <w:rFonts w:cs="Arial"/>
                <w:sz w:val="22"/>
                <w:szCs w:val="22"/>
              </w:rPr>
              <w:t xml:space="preserve">;  etkinlik sırasında uygulanır ve belirli bir zaman dilimi içerisindeki faaliyet hakkında bilgi sağlar; </w:t>
            </w:r>
          </w:p>
          <w:p w:rsidR="00BC0749" w:rsidRPr="00BC0749" w:rsidRDefault="00BC0749" w:rsidP="00BC0749">
            <w:pPr>
              <w:tabs>
                <w:tab w:val="left" w:pos="284"/>
                <w:tab w:val="left" w:pos="426"/>
              </w:tabs>
              <w:spacing w:line="360" w:lineRule="auto"/>
              <w:jc w:val="both"/>
              <w:rPr>
                <w:rFonts w:cs="Arial"/>
                <w:sz w:val="22"/>
                <w:szCs w:val="22"/>
              </w:rPr>
            </w:pPr>
            <w:r w:rsidRPr="00BC0749">
              <w:rPr>
                <w:rFonts w:cs="Arial"/>
                <w:b/>
                <w:sz w:val="22"/>
                <w:szCs w:val="22"/>
              </w:rPr>
              <w:t xml:space="preserve">Doğrulama; </w:t>
            </w:r>
            <w:r w:rsidRPr="00BC0749">
              <w:rPr>
                <w:rFonts w:cs="Arial"/>
                <w:sz w:val="22"/>
                <w:szCs w:val="22"/>
              </w:rPr>
              <w:t>ISO 22000 standardında ve hazırlanan dokümanlarda belirtilen gerekliliklerin yerine getirildiğine dair somut delillerin sunulması ile yapılan teyit işlemidir. Etkinlik sonrasında uygulanır ve uygunluğun teyit edilmesi hakkında bilgi sağlar.</w:t>
            </w:r>
          </w:p>
          <w:p w:rsidR="005F19C3" w:rsidRPr="00BC0749" w:rsidRDefault="005F19C3" w:rsidP="005F19C3">
            <w:pPr>
              <w:rPr>
                <w:sz w:val="22"/>
                <w:szCs w:val="22"/>
              </w:rPr>
            </w:pP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p>
          <w:p w:rsidR="005F19C3" w:rsidRPr="00BC0749" w:rsidRDefault="001D7712" w:rsidP="005F19C3">
            <w:pPr>
              <w:rPr>
                <w:sz w:val="22"/>
                <w:szCs w:val="22"/>
              </w:rPr>
            </w:pPr>
            <w:r w:rsidRPr="00BC0749">
              <w:rPr>
                <w:color w:val="FF0000"/>
                <w:sz w:val="22"/>
                <w:szCs w:val="22"/>
              </w:rPr>
              <w:t>5-UYGULAMA</w:t>
            </w:r>
            <w:r w:rsidR="005F19C3" w:rsidRPr="00BC0749">
              <w:rPr>
                <w:sz w:val="22"/>
                <w:szCs w:val="22"/>
              </w:rPr>
              <w:tab/>
            </w:r>
            <w:r w:rsidR="005F19C3" w:rsidRPr="00BC0749">
              <w:rPr>
                <w:sz w:val="22"/>
                <w:szCs w:val="22"/>
              </w:rPr>
              <w:tab/>
            </w:r>
            <w:r w:rsidR="005F19C3" w:rsidRPr="00BC0749">
              <w:rPr>
                <w:sz w:val="22"/>
                <w:szCs w:val="22"/>
              </w:rPr>
              <w:tab/>
            </w:r>
            <w:r w:rsidR="005F19C3" w:rsidRPr="00BC0749">
              <w:rPr>
                <w:sz w:val="22"/>
                <w:szCs w:val="22"/>
              </w:rPr>
              <w:tab/>
            </w:r>
            <w:r w:rsidR="005F19C3" w:rsidRPr="00BC0749">
              <w:rPr>
                <w:sz w:val="22"/>
                <w:szCs w:val="22"/>
              </w:rPr>
              <w:tab/>
            </w:r>
            <w:r w:rsidR="005F19C3" w:rsidRPr="00BC0749">
              <w:rPr>
                <w:sz w:val="22"/>
                <w:szCs w:val="22"/>
              </w:rPr>
              <w:tab/>
            </w:r>
            <w:r w:rsidR="005F19C3" w:rsidRPr="00BC0749">
              <w:rPr>
                <w:sz w:val="22"/>
                <w:szCs w:val="22"/>
              </w:rPr>
              <w:tab/>
            </w:r>
            <w:r w:rsidR="005F19C3" w:rsidRPr="00BC0749">
              <w:rPr>
                <w:sz w:val="22"/>
                <w:szCs w:val="22"/>
              </w:rPr>
              <w:tab/>
            </w:r>
            <w:r w:rsidR="005F19C3" w:rsidRPr="00BC0749">
              <w:rPr>
                <w:sz w:val="22"/>
                <w:szCs w:val="22"/>
              </w:rPr>
              <w:tab/>
            </w:r>
            <w:r w:rsidR="005F19C3" w:rsidRPr="00BC0749">
              <w:rPr>
                <w:sz w:val="22"/>
                <w:szCs w:val="22"/>
              </w:rPr>
              <w:tab/>
            </w:r>
          </w:p>
          <w:p w:rsidR="005F19C3" w:rsidRPr="00BC0749" w:rsidRDefault="005F19C3" w:rsidP="005F19C3">
            <w:pPr>
              <w:rPr>
                <w:sz w:val="22"/>
                <w:szCs w:val="22"/>
              </w:rPr>
            </w:pP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r w:rsidRPr="00BC0749">
              <w:rPr>
                <w:sz w:val="22"/>
                <w:szCs w:val="22"/>
              </w:rPr>
              <w:tab/>
            </w:r>
          </w:p>
          <w:p w:rsidR="00BC0749" w:rsidRPr="00BC0749" w:rsidRDefault="00BC0749" w:rsidP="00BC0749">
            <w:pPr>
              <w:tabs>
                <w:tab w:val="left" w:pos="284"/>
                <w:tab w:val="left" w:pos="426"/>
              </w:tabs>
              <w:spacing w:line="360" w:lineRule="auto"/>
              <w:jc w:val="both"/>
              <w:rPr>
                <w:rFonts w:cs="Arial"/>
                <w:b/>
                <w:sz w:val="22"/>
                <w:szCs w:val="22"/>
              </w:rPr>
            </w:pPr>
            <w:r w:rsidRPr="00BC0749">
              <w:rPr>
                <w:rFonts w:cs="Arial"/>
                <w:b/>
                <w:sz w:val="22"/>
                <w:szCs w:val="22"/>
              </w:rPr>
              <w:t xml:space="preserve">5.1. Kontrol tedbirlerinin geçerli kılınması </w:t>
            </w:r>
          </w:p>
          <w:p w:rsidR="00BC0749" w:rsidRPr="00BC0749" w:rsidRDefault="00BC0749" w:rsidP="00BC0749">
            <w:pPr>
              <w:tabs>
                <w:tab w:val="left" w:pos="284"/>
                <w:tab w:val="left" w:pos="426"/>
              </w:tabs>
              <w:spacing w:line="360" w:lineRule="auto"/>
              <w:jc w:val="both"/>
              <w:rPr>
                <w:rFonts w:cs="Arial"/>
                <w:sz w:val="22"/>
                <w:szCs w:val="22"/>
              </w:rPr>
            </w:pPr>
            <w:r w:rsidRPr="00BC0749">
              <w:rPr>
                <w:rFonts w:cs="Arial"/>
                <w:sz w:val="22"/>
                <w:szCs w:val="22"/>
              </w:rPr>
              <w:t xml:space="preserve">Gıda güvenliği ekibi, seçilen kontrol tedbirlerinin, önemli gıda güvenliği tehlikelerinin kontrolünü, amaçlanan şekilde gerçekleştirme yeterliliğinin geçerli kılınmasını sağlamalıdır. Bu geçerli kılma eylemi, tehlike kontrolü planına eklenecek kontrol tedbirlerinin ve bunların </w:t>
            </w:r>
            <w:proofErr w:type="gramStart"/>
            <w:r w:rsidRPr="00BC0749">
              <w:rPr>
                <w:rFonts w:cs="Arial"/>
                <w:sz w:val="22"/>
                <w:szCs w:val="22"/>
              </w:rPr>
              <w:t>kombinasyonlarının</w:t>
            </w:r>
            <w:proofErr w:type="gramEnd"/>
            <w:r w:rsidRPr="00BC0749">
              <w:rPr>
                <w:rFonts w:cs="Arial"/>
                <w:sz w:val="22"/>
                <w:szCs w:val="22"/>
              </w:rPr>
              <w:t xml:space="preserve"> uygulanmasından önce ve kontrol tedbirinde yapılan herhangi bir değişiklikten sonra gerçekleştirilmelidir. Geçerli kılmanın sonucu kontrol tedbirlerinin amaçlanan kontrolü başarma becerisine sahip değilse, gıda güvenliği ekibi kontrol tedbirlerini değiştirmeli ve yeniden değerlendirmelidir. </w:t>
            </w:r>
          </w:p>
          <w:p w:rsidR="00BC0749" w:rsidRPr="00BC0749" w:rsidRDefault="00BC0749" w:rsidP="00BC0749">
            <w:pPr>
              <w:tabs>
                <w:tab w:val="left" w:pos="284"/>
                <w:tab w:val="left" w:pos="426"/>
              </w:tabs>
              <w:spacing w:line="360" w:lineRule="auto"/>
              <w:jc w:val="both"/>
              <w:rPr>
                <w:rFonts w:cs="Arial"/>
                <w:sz w:val="22"/>
                <w:szCs w:val="22"/>
              </w:rPr>
            </w:pPr>
            <w:r w:rsidRPr="00BC0749">
              <w:rPr>
                <w:rFonts w:cs="Arial"/>
                <w:sz w:val="22"/>
                <w:szCs w:val="22"/>
              </w:rPr>
              <w:t xml:space="preserve">Gıda güvenliği ekibi, amaçlanan kontrolün sağlanması için geçerli kılma </w:t>
            </w:r>
            <w:proofErr w:type="gramStart"/>
            <w:r w:rsidRPr="00BC0749">
              <w:rPr>
                <w:rFonts w:cs="Arial"/>
                <w:sz w:val="22"/>
                <w:szCs w:val="22"/>
              </w:rPr>
              <w:t>metodolojisinin</w:t>
            </w:r>
            <w:proofErr w:type="gramEnd"/>
            <w:r w:rsidRPr="00BC0749">
              <w:rPr>
                <w:rFonts w:cs="Arial"/>
                <w:sz w:val="22"/>
                <w:szCs w:val="22"/>
              </w:rPr>
              <w:t xml:space="preserve"> ve kontrol tedbirinin/tedbirlerinin kapasitesinin ispatının sürekliliğini </w:t>
            </w:r>
            <w:proofErr w:type="spellStart"/>
            <w:r w:rsidRPr="00BC0749">
              <w:rPr>
                <w:rFonts w:cs="Arial"/>
                <w:sz w:val="22"/>
                <w:szCs w:val="22"/>
              </w:rPr>
              <w:t>dokümante</w:t>
            </w:r>
            <w:proofErr w:type="spellEnd"/>
            <w:r w:rsidRPr="00BC0749">
              <w:rPr>
                <w:rFonts w:cs="Arial"/>
                <w:sz w:val="22"/>
                <w:szCs w:val="22"/>
              </w:rPr>
              <w:t xml:space="preserve"> edilmiş bilgi olarak sağlamalıdır</w:t>
            </w:r>
            <w:r w:rsidRPr="00BC0749">
              <w:rPr>
                <w:rFonts w:cs="Arial"/>
                <w:b/>
                <w:sz w:val="22"/>
                <w:szCs w:val="22"/>
              </w:rPr>
              <w:t xml:space="preserve">. </w:t>
            </w:r>
            <w:r w:rsidRPr="00BC0749">
              <w:rPr>
                <w:rFonts w:cs="Arial"/>
                <w:sz w:val="22"/>
                <w:szCs w:val="22"/>
              </w:rPr>
              <w:t>Uygulamaya geçilmeden önce veya değişiklik meydana geldiğinde belirlenen kontrol tedbirleri için</w:t>
            </w:r>
            <w:r w:rsidRPr="00BC0749">
              <w:rPr>
                <w:rFonts w:cs="Arial"/>
                <w:b/>
                <w:sz w:val="22"/>
                <w:szCs w:val="22"/>
              </w:rPr>
              <w:t xml:space="preserve"> “KKN ve </w:t>
            </w:r>
            <w:r w:rsidRPr="00BC0749">
              <w:rPr>
                <w:rFonts w:cs="Arial"/>
                <w:b/>
                <w:sz w:val="22"/>
                <w:szCs w:val="22"/>
              </w:rPr>
              <w:lastRenderedPageBreak/>
              <w:t xml:space="preserve">OÖGP geçerli kılma formu” </w:t>
            </w:r>
            <w:r w:rsidRPr="00BC0749">
              <w:rPr>
                <w:rFonts w:cs="Arial"/>
                <w:sz w:val="22"/>
                <w:szCs w:val="22"/>
              </w:rPr>
              <w:t>ile gıda güvenliği ekibi tarafından geçerli kılınır.</w:t>
            </w:r>
            <w:r w:rsidRPr="00BC0749">
              <w:rPr>
                <w:rFonts w:cs="Arial"/>
                <w:b/>
                <w:sz w:val="22"/>
                <w:szCs w:val="22"/>
              </w:rPr>
              <w:t xml:space="preserve"> </w:t>
            </w:r>
            <w:r w:rsidRPr="00BC0749">
              <w:rPr>
                <w:rFonts w:cs="Arial"/>
                <w:sz w:val="22"/>
                <w:szCs w:val="22"/>
              </w:rPr>
              <w:t xml:space="preserve">ÖGP için geçerli </w:t>
            </w:r>
            <w:proofErr w:type="gramStart"/>
            <w:r w:rsidRPr="00BC0749">
              <w:rPr>
                <w:rFonts w:cs="Arial"/>
                <w:sz w:val="22"/>
                <w:szCs w:val="22"/>
              </w:rPr>
              <w:t>kılma  gerekli</w:t>
            </w:r>
            <w:proofErr w:type="gramEnd"/>
            <w:r w:rsidRPr="00BC0749">
              <w:rPr>
                <w:rFonts w:cs="Arial"/>
                <w:sz w:val="22"/>
                <w:szCs w:val="22"/>
              </w:rPr>
              <w:t xml:space="preserve"> değildir (ISO 22004:2014).</w:t>
            </w:r>
          </w:p>
          <w:p w:rsidR="00BC0749" w:rsidRPr="00BC0749" w:rsidRDefault="00BC0749" w:rsidP="00BC0749">
            <w:pPr>
              <w:tabs>
                <w:tab w:val="left" w:pos="284"/>
                <w:tab w:val="left" w:pos="426"/>
              </w:tabs>
              <w:spacing w:line="360" w:lineRule="auto"/>
              <w:jc w:val="both"/>
              <w:rPr>
                <w:rFonts w:cs="Arial"/>
                <w:b/>
                <w:sz w:val="22"/>
                <w:szCs w:val="22"/>
              </w:rPr>
            </w:pPr>
            <w:r w:rsidRPr="00BC0749">
              <w:rPr>
                <w:rFonts w:cs="Arial"/>
                <w:b/>
                <w:sz w:val="22"/>
                <w:szCs w:val="22"/>
              </w:rPr>
              <w:t xml:space="preserve">5.2.  GGYS Doğrulamasının yapılması </w:t>
            </w:r>
          </w:p>
          <w:p w:rsidR="00BC0749" w:rsidRPr="00BC0749" w:rsidRDefault="00BC0749" w:rsidP="00BC0749">
            <w:pPr>
              <w:tabs>
                <w:tab w:val="left" w:pos="284"/>
                <w:tab w:val="left" w:pos="426"/>
              </w:tabs>
              <w:spacing w:line="360" w:lineRule="auto"/>
              <w:jc w:val="both"/>
              <w:rPr>
                <w:rFonts w:cs="Arial"/>
                <w:b/>
                <w:sz w:val="22"/>
                <w:szCs w:val="22"/>
              </w:rPr>
            </w:pPr>
            <w:r w:rsidRPr="00BC0749">
              <w:rPr>
                <w:rFonts w:cs="Arial"/>
                <w:b/>
                <w:sz w:val="22"/>
                <w:szCs w:val="22"/>
              </w:rPr>
              <w:t>5.2.1. Ön gereksinim planlarının doğrulaması</w:t>
            </w:r>
          </w:p>
          <w:p w:rsidR="00BC0749" w:rsidRPr="00BC0749" w:rsidRDefault="00BC0749" w:rsidP="00BC0749">
            <w:pPr>
              <w:tabs>
                <w:tab w:val="left" w:pos="284"/>
                <w:tab w:val="left" w:pos="426"/>
              </w:tabs>
              <w:spacing w:line="360" w:lineRule="auto"/>
              <w:jc w:val="both"/>
              <w:rPr>
                <w:rFonts w:cs="Arial"/>
                <w:sz w:val="22"/>
                <w:szCs w:val="22"/>
              </w:rPr>
            </w:pPr>
            <w:r w:rsidRPr="00BC0749">
              <w:rPr>
                <w:rFonts w:cs="Arial"/>
                <w:sz w:val="22"/>
                <w:szCs w:val="22"/>
              </w:rPr>
              <w:t xml:space="preserve">Ön gereksinim </w:t>
            </w:r>
            <w:proofErr w:type="gramStart"/>
            <w:r w:rsidRPr="00BC0749">
              <w:rPr>
                <w:rFonts w:cs="Arial"/>
                <w:sz w:val="22"/>
                <w:szCs w:val="22"/>
              </w:rPr>
              <w:t>prosedüründe</w:t>
            </w:r>
            <w:proofErr w:type="gramEnd"/>
            <w:r w:rsidRPr="00BC0749">
              <w:rPr>
                <w:rFonts w:cs="Arial"/>
                <w:sz w:val="22"/>
                <w:szCs w:val="22"/>
              </w:rPr>
              <w:t xml:space="preserve"> tanımlanan gereklilikler ÖGP doğrulama formu ile ayda en az bir kez doğrulanır. </w:t>
            </w:r>
          </w:p>
          <w:p w:rsidR="00BC0749" w:rsidRPr="00BC0749" w:rsidRDefault="00BC0749" w:rsidP="00BC0749">
            <w:pPr>
              <w:tabs>
                <w:tab w:val="left" w:pos="284"/>
                <w:tab w:val="left" w:pos="426"/>
              </w:tabs>
              <w:spacing w:line="360" w:lineRule="auto"/>
              <w:jc w:val="both"/>
              <w:rPr>
                <w:rFonts w:cs="Arial"/>
                <w:b/>
                <w:sz w:val="22"/>
                <w:szCs w:val="22"/>
              </w:rPr>
            </w:pPr>
            <w:r w:rsidRPr="00BC0749">
              <w:rPr>
                <w:rFonts w:cs="Arial"/>
                <w:b/>
                <w:sz w:val="22"/>
                <w:szCs w:val="22"/>
              </w:rPr>
              <w:t>5.2.2. İzlenebilirlik ve geri çekme sisteminin doğrulaması</w:t>
            </w:r>
          </w:p>
          <w:p w:rsidR="00BC0749" w:rsidRPr="00BC0749" w:rsidRDefault="00BC0749" w:rsidP="00BC0749">
            <w:pPr>
              <w:tabs>
                <w:tab w:val="left" w:pos="284"/>
                <w:tab w:val="left" w:pos="426"/>
              </w:tabs>
              <w:spacing w:line="360" w:lineRule="auto"/>
              <w:jc w:val="both"/>
              <w:rPr>
                <w:rFonts w:cs="Arial"/>
                <w:sz w:val="22"/>
                <w:szCs w:val="22"/>
              </w:rPr>
            </w:pPr>
            <w:r w:rsidRPr="00BC0749">
              <w:rPr>
                <w:rFonts w:cs="Arial"/>
                <w:sz w:val="22"/>
                <w:szCs w:val="22"/>
              </w:rPr>
              <w:t xml:space="preserve">Yılda en az bir kez Gıda güvenliği ekip lideri tarafından izlenebilir </w:t>
            </w:r>
            <w:proofErr w:type="gramStart"/>
            <w:r w:rsidRPr="00BC0749">
              <w:rPr>
                <w:rFonts w:cs="Arial"/>
                <w:sz w:val="22"/>
                <w:szCs w:val="22"/>
              </w:rPr>
              <w:t>prosedüründe</w:t>
            </w:r>
            <w:proofErr w:type="gramEnd"/>
            <w:r w:rsidRPr="00BC0749">
              <w:rPr>
                <w:rFonts w:cs="Arial"/>
                <w:sz w:val="22"/>
                <w:szCs w:val="22"/>
              </w:rPr>
              <w:t xml:space="preserve"> belirtilen izlenebilirlik planına göre izlenebilirlik tatbikatı yapılarak, izlenebilirlik sisteminin doğrulması yapılır. İzlenebilirlik formu doldurularak kayıt altına alınır. İzlenebilirlik sağlanamadı ise Düzeltici faaliyet başlatılır. YGG toplantısında izlenebilirlik sonuçları değerlendirilir. </w:t>
            </w:r>
          </w:p>
          <w:p w:rsidR="00BC0749" w:rsidRPr="00BC0749" w:rsidRDefault="00BC0749" w:rsidP="00BC0749">
            <w:pPr>
              <w:tabs>
                <w:tab w:val="left" w:pos="284"/>
                <w:tab w:val="left" w:pos="426"/>
              </w:tabs>
              <w:spacing w:line="360" w:lineRule="auto"/>
              <w:jc w:val="both"/>
              <w:rPr>
                <w:rFonts w:cs="Arial"/>
                <w:sz w:val="22"/>
                <w:szCs w:val="22"/>
              </w:rPr>
            </w:pPr>
            <w:r w:rsidRPr="00BC0749">
              <w:rPr>
                <w:rFonts w:cs="Arial"/>
                <w:sz w:val="22"/>
                <w:szCs w:val="22"/>
              </w:rPr>
              <w:t xml:space="preserve">Geri çekme </w:t>
            </w:r>
            <w:proofErr w:type="gramStart"/>
            <w:r w:rsidRPr="00BC0749">
              <w:rPr>
                <w:rFonts w:cs="Arial"/>
                <w:sz w:val="22"/>
                <w:szCs w:val="22"/>
              </w:rPr>
              <w:t>prosedürüne</w:t>
            </w:r>
            <w:proofErr w:type="gramEnd"/>
            <w:r w:rsidRPr="00BC0749">
              <w:rPr>
                <w:rFonts w:cs="Arial"/>
                <w:sz w:val="22"/>
                <w:szCs w:val="22"/>
              </w:rPr>
              <w:t xml:space="preserve"> göre yılda en az bir kez geri çekme tatbikatı yapılarak geri çekme işleminin etkinliği doğrulanır. Geri çekme formu ile kayıt altına alınır. </w:t>
            </w:r>
          </w:p>
          <w:p w:rsidR="00BC0749" w:rsidRPr="00BC0749" w:rsidRDefault="00BC0749" w:rsidP="00BC0749">
            <w:pPr>
              <w:pStyle w:val="DipnotMetni"/>
              <w:spacing w:line="360" w:lineRule="auto"/>
              <w:rPr>
                <w:rFonts w:cs="Arial"/>
                <w:b/>
                <w:bCs/>
                <w:snapToGrid w:val="0"/>
                <w:color w:val="000000"/>
                <w:szCs w:val="22"/>
                <w:lang w:val="tr-TR" w:eastAsia="tr-TR"/>
              </w:rPr>
            </w:pPr>
            <w:r w:rsidRPr="00BC0749">
              <w:rPr>
                <w:rFonts w:cs="Arial"/>
                <w:b/>
                <w:bCs/>
                <w:snapToGrid w:val="0"/>
                <w:color w:val="000000"/>
                <w:szCs w:val="22"/>
                <w:lang w:val="tr-TR" w:eastAsia="tr-TR"/>
              </w:rPr>
              <w:t>5.2.3. Akış şemalarının doğrulanması</w:t>
            </w:r>
          </w:p>
          <w:p w:rsidR="00BC0749" w:rsidRPr="00BC0749" w:rsidRDefault="00BC0749" w:rsidP="00BC0749">
            <w:pPr>
              <w:pStyle w:val="DipnotMetni"/>
              <w:spacing w:line="360" w:lineRule="auto"/>
              <w:rPr>
                <w:rFonts w:cs="Arial"/>
                <w:bCs/>
                <w:snapToGrid w:val="0"/>
                <w:color w:val="000000"/>
                <w:szCs w:val="22"/>
                <w:lang w:val="tr-TR" w:eastAsia="tr-TR"/>
              </w:rPr>
            </w:pPr>
            <w:r w:rsidRPr="00BC0749">
              <w:rPr>
                <w:rFonts w:cs="Arial"/>
                <w:bCs/>
                <w:snapToGrid w:val="0"/>
                <w:color w:val="000000"/>
                <w:szCs w:val="22"/>
                <w:lang w:val="tr-TR" w:eastAsia="tr-TR"/>
              </w:rPr>
              <w:t xml:space="preserve">Gıda güvenliği ekibi, akış diyagramlarının doğruluğunu yerinde onaylar, değişiklik </w:t>
            </w:r>
            <w:proofErr w:type="spellStart"/>
            <w:r w:rsidRPr="00BC0749">
              <w:rPr>
                <w:rFonts w:cs="Arial"/>
                <w:bCs/>
                <w:snapToGrid w:val="0"/>
                <w:color w:val="000000"/>
                <w:szCs w:val="22"/>
                <w:lang w:val="tr-TR" w:eastAsia="tr-TR"/>
              </w:rPr>
              <w:t>meyda</w:t>
            </w:r>
            <w:proofErr w:type="spellEnd"/>
            <w:r w:rsidRPr="00BC0749">
              <w:rPr>
                <w:rFonts w:cs="Arial"/>
                <w:bCs/>
                <w:snapToGrid w:val="0"/>
                <w:color w:val="000000"/>
                <w:szCs w:val="22"/>
                <w:lang w:val="tr-TR" w:eastAsia="tr-TR"/>
              </w:rPr>
              <w:t xml:space="preserve"> geldiğinde akış diyagramlarını günceller. Gıda güvenliği ekibi, doğrulama kanıtlarını </w:t>
            </w:r>
            <w:r w:rsidRPr="00BC0749">
              <w:rPr>
                <w:rFonts w:cs="Arial"/>
                <w:b/>
                <w:bCs/>
                <w:snapToGrid w:val="0"/>
                <w:color w:val="000000"/>
                <w:szCs w:val="22"/>
                <w:lang w:val="tr-TR" w:eastAsia="tr-TR"/>
              </w:rPr>
              <w:t>Akış şemalarına</w:t>
            </w:r>
            <w:r w:rsidRPr="00BC0749">
              <w:rPr>
                <w:rFonts w:cs="Arial"/>
                <w:bCs/>
                <w:snapToGrid w:val="0"/>
                <w:color w:val="000000"/>
                <w:szCs w:val="22"/>
                <w:lang w:val="tr-TR" w:eastAsia="tr-TR"/>
              </w:rPr>
              <w:t xml:space="preserve"> kayıt eder. </w:t>
            </w:r>
          </w:p>
          <w:p w:rsidR="00BC0749" w:rsidRPr="00BC0749" w:rsidRDefault="00BC0749" w:rsidP="00BC0749">
            <w:pPr>
              <w:pStyle w:val="DipnotMetni"/>
              <w:spacing w:line="360" w:lineRule="auto"/>
              <w:rPr>
                <w:rFonts w:cs="Arial"/>
                <w:b/>
                <w:bCs/>
                <w:snapToGrid w:val="0"/>
                <w:color w:val="000000"/>
                <w:szCs w:val="22"/>
                <w:lang w:val="tr-TR" w:eastAsia="tr-TR"/>
              </w:rPr>
            </w:pPr>
            <w:r w:rsidRPr="00BC0749">
              <w:rPr>
                <w:rFonts w:cs="Arial"/>
                <w:b/>
                <w:bCs/>
                <w:snapToGrid w:val="0"/>
                <w:color w:val="000000"/>
                <w:szCs w:val="22"/>
                <w:lang w:val="tr-TR" w:eastAsia="tr-TR"/>
              </w:rPr>
              <w:t>5.2.4. HACCP ve OÖGP Kontrol Tedbirlerinin Doğrulaması</w:t>
            </w:r>
          </w:p>
          <w:p w:rsidR="00BC0749" w:rsidRPr="00BC0749" w:rsidRDefault="00BC0749" w:rsidP="00BC0749">
            <w:pPr>
              <w:spacing w:before="40" w:after="40" w:line="360" w:lineRule="auto"/>
              <w:jc w:val="both"/>
              <w:rPr>
                <w:rFonts w:cs="Arial"/>
                <w:snapToGrid w:val="0"/>
                <w:color w:val="000000"/>
                <w:sz w:val="22"/>
                <w:szCs w:val="22"/>
              </w:rPr>
            </w:pPr>
            <w:r w:rsidRPr="00BC0749">
              <w:rPr>
                <w:rFonts w:cs="Arial"/>
                <w:snapToGrid w:val="0"/>
                <w:color w:val="000000"/>
                <w:sz w:val="22"/>
                <w:szCs w:val="22"/>
              </w:rPr>
              <w:t xml:space="preserve">Tehlike analizinde belirlenen OÖGP ve </w:t>
            </w:r>
            <w:proofErr w:type="gramStart"/>
            <w:r w:rsidRPr="00BC0749">
              <w:rPr>
                <w:rFonts w:cs="Arial"/>
                <w:snapToGrid w:val="0"/>
                <w:color w:val="000000"/>
                <w:sz w:val="22"/>
                <w:szCs w:val="22"/>
              </w:rPr>
              <w:t>HACCP  kontrol</w:t>
            </w:r>
            <w:proofErr w:type="gramEnd"/>
            <w:r w:rsidRPr="00BC0749">
              <w:rPr>
                <w:rFonts w:cs="Arial"/>
                <w:snapToGrid w:val="0"/>
                <w:color w:val="000000"/>
                <w:sz w:val="22"/>
                <w:szCs w:val="22"/>
              </w:rPr>
              <w:t xml:space="preserve"> tedbirlerinin doğrulaması  </w:t>
            </w:r>
            <w:r w:rsidRPr="00BC0749">
              <w:rPr>
                <w:rFonts w:cs="Arial"/>
                <w:b/>
                <w:snapToGrid w:val="0"/>
                <w:color w:val="000000"/>
                <w:sz w:val="22"/>
                <w:szCs w:val="22"/>
              </w:rPr>
              <w:t>Tehlike analizi, HACCP, OÖGP ve ÖGP belirleme ve Doğrulama Planı</w:t>
            </w:r>
            <w:r w:rsidRPr="00BC0749">
              <w:rPr>
                <w:rFonts w:cs="Arial"/>
                <w:snapToGrid w:val="0"/>
                <w:color w:val="000000"/>
                <w:sz w:val="22"/>
                <w:szCs w:val="22"/>
              </w:rPr>
              <w:t xml:space="preserve">nda belirtilen şekilde yapılır.  Doğrulama </w:t>
            </w:r>
            <w:proofErr w:type="gramStart"/>
            <w:r w:rsidRPr="00BC0749">
              <w:rPr>
                <w:rFonts w:cs="Arial"/>
                <w:snapToGrid w:val="0"/>
                <w:color w:val="000000"/>
                <w:sz w:val="22"/>
                <w:szCs w:val="22"/>
              </w:rPr>
              <w:t>planında  doğrulamanın</w:t>
            </w:r>
            <w:proofErr w:type="gramEnd"/>
            <w:r w:rsidRPr="00BC0749">
              <w:rPr>
                <w:rFonts w:cs="Arial"/>
                <w:snapToGrid w:val="0"/>
                <w:color w:val="000000"/>
                <w:sz w:val="22"/>
                <w:szCs w:val="22"/>
              </w:rPr>
              <w:t xml:space="preserve"> nasıl yapılması gerektiği, kim tarafından yapılması gerektiği, hangi periyotta yapılması gerektiği ve nereye kayıt edilmesi gerektiği belirtilmiştir. </w:t>
            </w:r>
          </w:p>
          <w:p w:rsidR="00BC0749" w:rsidRPr="00BC0749" w:rsidRDefault="00BC0749" w:rsidP="00BC0749">
            <w:pPr>
              <w:tabs>
                <w:tab w:val="left" w:pos="284"/>
                <w:tab w:val="left" w:pos="426"/>
              </w:tabs>
              <w:spacing w:line="360" w:lineRule="auto"/>
              <w:jc w:val="both"/>
              <w:rPr>
                <w:rFonts w:cs="Arial"/>
                <w:b/>
                <w:sz w:val="22"/>
                <w:szCs w:val="22"/>
              </w:rPr>
            </w:pPr>
            <w:r w:rsidRPr="00BC0749">
              <w:rPr>
                <w:rFonts w:cs="Arial"/>
                <w:b/>
                <w:sz w:val="22"/>
                <w:szCs w:val="22"/>
              </w:rPr>
              <w:t>5.3.  Gıda güvenliği yönetim sisteminin güncellenmesi</w:t>
            </w:r>
          </w:p>
          <w:p w:rsidR="00BC0749" w:rsidRPr="00BC0749" w:rsidRDefault="00BC0749" w:rsidP="00BC0749">
            <w:pPr>
              <w:tabs>
                <w:tab w:val="left" w:pos="284"/>
                <w:tab w:val="left" w:pos="426"/>
              </w:tabs>
              <w:spacing w:line="360" w:lineRule="auto"/>
              <w:jc w:val="both"/>
              <w:rPr>
                <w:rFonts w:cs="Arial"/>
                <w:sz w:val="22"/>
                <w:szCs w:val="22"/>
              </w:rPr>
            </w:pPr>
            <w:r w:rsidRPr="00BC0749">
              <w:rPr>
                <w:rFonts w:cs="Arial"/>
                <w:sz w:val="22"/>
                <w:szCs w:val="22"/>
              </w:rPr>
              <w:t xml:space="preserve">Gıda güvenliği ekibi tarafından GGYS sürekli olarak güncellenmelidir. Bu amaca ulaşmak için gıda güvenliği ekibi </w:t>
            </w:r>
            <w:proofErr w:type="spellStart"/>
            <w:r w:rsidRPr="00BC0749">
              <w:rPr>
                <w:rFonts w:cs="Arial"/>
                <w:sz w:val="22"/>
                <w:szCs w:val="22"/>
              </w:rPr>
              <w:t>GGYS’yi</w:t>
            </w:r>
            <w:proofErr w:type="spellEnd"/>
            <w:r w:rsidRPr="00BC0749">
              <w:rPr>
                <w:rFonts w:cs="Arial"/>
                <w:sz w:val="22"/>
                <w:szCs w:val="22"/>
              </w:rPr>
              <w:t xml:space="preserve"> en az 6 ayda bir toplantı yaparak değerlendirme yapar.</w:t>
            </w:r>
          </w:p>
          <w:p w:rsidR="00BC0749" w:rsidRPr="00BC0749" w:rsidRDefault="00BC0749" w:rsidP="00BC0749">
            <w:pPr>
              <w:tabs>
                <w:tab w:val="left" w:pos="284"/>
                <w:tab w:val="left" w:pos="426"/>
              </w:tabs>
              <w:spacing w:line="360" w:lineRule="auto"/>
              <w:jc w:val="both"/>
              <w:rPr>
                <w:rFonts w:cs="Arial"/>
                <w:sz w:val="22"/>
                <w:szCs w:val="22"/>
              </w:rPr>
            </w:pPr>
            <w:r w:rsidRPr="00BC0749">
              <w:rPr>
                <w:rFonts w:cs="Arial"/>
                <w:sz w:val="22"/>
                <w:szCs w:val="22"/>
              </w:rPr>
              <w:t xml:space="preserve">Toplantı gündem maddeleri aşağıdakileri içermelidir. </w:t>
            </w:r>
          </w:p>
          <w:p w:rsidR="00BC0749" w:rsidRPr="00BC0749" w:rsidRDefault="00BC0749" w:rsidP="00BC0749">
            <w:pPr>
              <w:tabs>
                <w:tab w:val="left" w:pos="284"/>
                <w:tab w:val="left" w:pos="426"/>
              </w:tabs>
              <w:spacing w:line="360" w:lineRule="auto"/>
              <w:jc w:val="both"/>
              <w:rPr>
                <w:rFonts w:cs="Arial"/>
                <w:sz w:val="22"/>
                <w:szCs w:val="22"/>
              </w:rPr>
            </w:pPr>
            <w:r w:rsidRPr="00BC0749">
              <w:rPr>
                <w:rFonts w:cs="Arial"/>
                <w:sz w:val="22"/>
                <w:szCs w:val="22"/>
              </w:rPr>
              <w:t xml:space="preserve">a) iç ve dış haberleşme girdileri </w:t>
            </w:r>
          </w:p>
          <w:p w:rsidR="00BC0749" w:rsidRPr="00BC0749" w:rsidRDefault="00BC0749" w:rsidP="00BC0749">
            <w:pPr>
              <w:tabs>
                <w:tab w:val="left" w:pos="284"/>
                <w:tab w:val="left" w:pos="426"/>
              </w:tabs>
              <w:spacing w:line="360" w:lineRule="auto"/>
              <w:jc w:val="both"/>
              <w:rPr>
                <w:rFonts w:cs="Arial"/>
                <w:sz w:val="22"/>
                <w:szCs w:val="22"/>
              </w:rPr>
            </w:pPr>
            <w:r w:rsidRPr="00BC0749">
              <w:rPr>
                <w:rFonts w:cs="Arial"/>
                <w:sz w:val="22"/>
                <w:szCs w:val="22"/>
              </w:rPr>
              <w:t xml:space="preserve">b) </w:t>
            </w:r>
            <w:proofErr w:type="spellStart"/>
            <w:r w:rsidRPr="00BC0749">
              <w:rPr>
                <w:rFonts w:cs="Arial"/>
                <w:sz w:val="22"/>
                <w:szCs w:val="22"/>
              </w:rPr>
              <w:t>GGYS’nin</w:t>
            </w:r>
            <w:proofErr w:type="spellEnd"/>
            <w:r w:rsidRPr="00BC0749">
              <w:rPr>
                <w:rFonts w:cs="Arial"/>
                <w:sz w:val="22"/>
                <w:szCs w:val="22"/>
              </w:rPr>
              <w:t xml:space="preserve"> uygunluğu, yeterliliği ve etkililiği konusunda başka bilgilerden sağlanan girdiler</w:t>
            </w:r>
          </w:p>
          <w:p w:rsidR="00BC0749" w:rsidRPr="00BC0749" w:rsidRDefault="00BC0749" w:rsidP="00BC0749">
            <w:pPr>
              <w:tabs>
                <w:tab w:val="left" w:pos="284"/>
                <w:tab w:val="left" w:pos="426"/>
              </w:tabs>
              <w:spacing w:line="360" w:lineRule="auto"/>
              <w:jc w:val="both"/>
              <w:rPr>
                <w:rFonts w:cs="Arial"/>
                <w:sz w:val="22"/>
                <w:szCs w:val="22"/>
              </w:rPr>
            </w:pPr>
            <w:r w:rsidRPr="00BC0749">
              <w:rPr>
                <w:rFonts w:cs="Arial"/>
                <w:sz w:val="22"/>
                <w:szCs w:val="22"/>
              </w:rPr>
              <w:t>c) doğrulama faaliyetlerinin sonuçlarının analizinin çıktıları</w:t>
            </w:r>
          </w:p>
          <w:p w:rsidR="00BC0749" w:rsidRPr="00BC0749" w:rsidRDefault="00BC0749" w:rsidP="00BC0749">
            <w:pPr>
              <w:tabs>
                <w:tab w:val="left" w:pos="284"/>
                <w:tab w:val="left" w:pos="426"/>
              </w:tabs>
              <w:spacing w:line="360" w:lineRule="auto"/>
              <w:jc w:val="both"/>
              <w:rPr>
                <w:rFonts w:cs="Arial"/>
                <w:sz w:val="22"/>
                <w:szCs w:val="22"/>
              </w:rPr>
            </w:pPr>
            <w:r w:rsidRPr="00BC0749">
              <w:rPr>
                <w:rFonts w:cs="Arial"/>
                <w:sz w:val="22"/>
                <w:szCs w:val="22"/>
              </w:rPr>
              <w:t xml:space="preserve">d) yönetim gözden geçirmeden elde edilen </w:t>
            </w:r>
            <w:proofErr w:type="gramStart"/>
            <w:r w:rsidRPr="00BC0749">
              <w:rPr>
                <w:rFonts w:cs="Arial"/>
                <w:sz w:val="22"/>
                <w:szCs w:val="22"/>
              </w:rPr>
              <w:t>çıktılar .</w:t>
            </w:r>
            <w:proofErr w:type="gramEnd"/>
          </w:p>
          <w:p w:rsidR="00BC0749" w:rsidRPr="00BC0749" w:rsidRDefault="00BC0749" w:rsidP="00BC0749">
            <w:pPr>
              <w:tabs>
                <w:tab w:val="left" w:pos="284"/>
                <w:tab w:val="left" w:pos="426"/>
              </w:tabs>
              <w:spacing w:line="360" w:lineRule="auto"/>
              <w:jc w:val="both"/>
              <w:rPr>
                <w:rFonts w:cs="Arial"/>
                <w:sz w:val="22"/>
                <w:szCs w:val="22"/>
              </w:rPr>
            </w:pPr>
            <w:r w:rsidRPr="00BC0749">
              <w:rPr>
                <w:rFonts w:cs="Arial"/>
                <w:sz w:val="22"/>
                <w:szCs w:val="22"/>
              </w:rPr>
              <w:t xml:space="preserve">c) Bu ekip, tehlike analizini oluşturulan tehlike kontrol planını ve oluşturulan </w:t>
            </w:r>
            <w:proofErr w:type="spellStart"/>
            <w:r w:rsidRPr="00BC0749">
              <w:rPr>
                <w:rFonts w:cs="Arial"/>
                <w:sz w:val="22"/>
                <w:szCs w:val="22"/>
              </w:rPr>
              <w:t>ÖGP’leri</w:t>
            </w:r>
            <w:proofErr w:type="spellEnd"/>
            <w:r w:rsidRPr="00BC0749">
              <w:rPr>
                <w:rFonts w:cs="Arial"/>
                <w:sz w:val="22"/>
                <w:szCs w:val="22"/>
              </w:rPr>
              <w:t xml:space="preserve"> gözden geçirmeye gerek olup olmadığını değerlendirir. </w:t>
            </w:r>
          </w:p>
          <w:p w:rsidR="00BC0749" w:rsidRPr="00BC0749" w:rsidRDefault="00BC0749" w:rsidP="00BC0749">
            <w:pPr>
              <w:tabs>
                <w:tab w:val="left" w:pos="284"/>
                <w:tab w:val="left" w:pos="426"/>
              </w:tabs>
              <w:spacing w:line="360" w:lineRule="auto"/>
              <w:jc w:val="both"/>
              <w:rPr>
                <w:rFonts w:cs="Arial"/>
                <w:sz w:val="22"/>
                <w:szCs w:val="22"/>
              </w:rPr>
            </w:pPr>
            <w:r w:rsidRPr="00BC0749">
              <w:rPr>
                <w:rFonts w:cs="Arial"/>
                <w:sz w:val="22"/>
                <w:szCs w:val="22"/>
              </w:rPr>
              <w:lastRenderedPageBreak/>
              <w:t>Sistem güncelleme için alınan kararlar Toplantı tutanağına kayıt edilmeli ve bilgi olarak muhafaza edilmeli ve yönetim gözden geçirmesine girdi olmak üzere raporlanmalıdır.</w:t>
            </w:r>
          </w:p>
          <w:p w:rsidR="00C14AF5" w:rsidRDefault="00C14AF5" w:rsidP="00C14AF5">
            <w:pPr>
              <w:pStyle w:val="ListeParagraf"/>
              <w:numPr>
                <w:ilvl w:val="0"/>
                <w:numId w:val="39"/>
              </w:numPr>
              <w:tabs>
                <w:tab w:val="left" w:pos="284"/>
                <w:tab w:val="left" w:pos="426"/>
              </w:tabs>
              <w:spacing w:line="360" w:lineRule="auto"/>
              <w:jc w:val="both"/>
              <w:rPr>
                <w:rFonts w:cs="Arial"/>
                <w:b/>
                <w:sz w:val="22"/>
                <w:szCs w:val="22"/>
              </w:rPr>
            </w:pPr>
            <w:r w:rsidRPr="00C14AF5">
              <w:rPr>
                <w:rFonts w:cs="Arial"/>
                <w:b/>
                <w:sz w:val="22"/>
                <w:szCs w:val="22"/>
              </w:rPr>
              <w:t>İLGİLİ DÖKÜMANLAR</w:t>
            </w:r>
          </w:p>
          <w:p w:rsidR="00C14AF5" w:rsidRDefault="00C14AF5" w:rsidP="00C14AF5">
            <w:pPr>
              <w:pStyle w:val="ListeParagraf"/>
              <w:tabs>
                <w:tab w:val="left" w:pos="284"/>
                <w:tab w:val="left" w:pos="426"/>
              </w:tabs>
              <w:spacing w:line="360" w:lineRule="auto"/>
              <w:jc w:val="both"/>
              <w:rPr>
                <w:rFonts w:cs="Arial"/>
                <w:b/>
                <w:sz w:val="22"/>
                <w:szCs w:val="22"/>
              </w:rPr>
            </w:pPr>
            <w:r>
              <w:rPr>
                <w:rFonts w:cs="Arial"/>
                <w:b/>
                <w:sz w:val="22"/>
                <w:szCs w:val="22"/>
              </w:rPr>
              <w:t>Yemek Akış Şeması</w:t>
            </w:r>
          </w:p>
          <w:p w:rsidR="00C14AF5" w:rsidRPr="00C14AF5" w:rsidRDefault="00C14AF5" w:rsidP="00C14AF5">
            <w:pPr>
              <w:pStyle w:val="ListeParagraf"/>
              <w:tabs>
                <w:tab w:val="left" w:pos="284"/>
                <w:tab w:val="left" w:pos="426"/>
              </w:tabs>
              <w:spacing w:line="360" w:lineRule="auto"/>
              <w:jc w:val="both"/>
              <w:rPr>
                <w:rFonts w:cs="Arial"/>
                <w:b/>
                <w:sz w:val="22"/>
                <w:szCs w:val="22"/>
              </w:rPr>
            </w:pPr>
            <w:r>
              <w:rPr>
                <w:rFonts w:cs="Arial"/>
                <w:b/>
                <w:sz w:val="22"/>
                <w:szCs w:val="22"/>
              </w:rPr>
              <w:t>Tehlike ve Risk Analizi</w:t>
            </w:r>
          </w:p>
          <w:p w:rsidR="00510EE6" w:rsidRPr="005F19C3" w:rsidRDefault="00510EE6" w:rsidP="00BC0749">
            <w:pPr>
              <w:tabs>
                <w:tab w:val="left" w:pos="2935"/>
              </w:tabs>
            </w:pPr>
          </w:p>
        </w:tc>
      </w:tr>
    </w:tbl>
    <w:p w:rsidR="00D456C6" w:rsidRDefault="00D456C6" w:rsidP="00804755">
      <w:pPr>
        <w:tabs>
          <w:tab w:val="num" w:pos="142"/>
          <w:tab w:val="num" w:pos="540"/>
          <w:tab w:val="left" w:pos="567"/>
          <w:tab w:val="left" w:pos="10348"/>
        </w:tabs>
        <w:ind w:right="282"/>
        <w:jc w:val="both"/>
        <w:rPr>
          <w:rFonts w:ascii="Arial Narrow" w:hAnsi="Arial Narrow"/>
        </w:rPr>
      </w:pPr>
      <w:bookmarkStart w:id="0" w:name="_GoBack"/>
      <w:bookmarkEnd w:id="0"/>
    </w:p>
    <w:sectPr w:rsidR="00D456C6" w:rsidSect="00690613">
      <w:headerReference w:type="default" r:id="rId8"/>
      <w:footerReference w:type="default" r:id="rId9"/>
      <w:pgSz w:w="11906" w:h="16838" w:code="9"/>
      <w:pgMar w:top="851" w:right="567" w:bottom="1985" w:left="709" w:header="709" w:footer="43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5B2" w:rsidRDefault="002535B2">
      <w:r>
        <w:separator/>
      </w:r>
    </w:p>
  </w:endnote>
  <w:endnote w:type="continuationSeparator" w:id="0">
    <w:p w:rsidR="002535B2" w:rsidRDefault="0025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56" w:rsidRDefault="006806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2816"/>
      <w:gridCol w:w="2564"/>
    </w:tblGrid>
    <w:tr w:rsidR="00ED3A45" w:rsidTr="00DA5622">
      <w:trPr>
        <w:trHeight w:val="197"/>
      </w:trPr>
      <w:tc>
        <w:tcPr>
          <w:tcW w:w="2405" w:type="dxa"/>
          <w:shd w:val="clear" w:color="auto" w:fill="auto"/>
        </w:tcPr>
        <w:p w:rsidR="00ED3A45" w:rsidRPr="00152ACC" w:rsidRDefault="00ED3A45" w:rsidP="00ED3A45">
          <w:pPr>
            <w:pStyle w:val="AltBilgi1"/>
            <w:jc w:val="center"/>
            <w:rPr>
              <w:b/>
            </w:rPr>
          </w:pPr>
          <w:r w:rsidRPr="00152ACC">
            <w:rPr>
              <w:b/>
            </w:rPr>
            <w:t>Hazırlayan</w:t>
          </w:r>
        </w:p>
      </w:tc>
      <w:tc>
        <w:tcPr>
          <w:tcW w:w="2835" w:type="dxa"/>
        </w:tcPr>
        <w:p w:rsidR="00ED3A45" w:rsidRPr="00152ACC" w:rsidRDefault="00ED3A45" w:rsidP="00ED3A45">
          <w:pPr>
            <w:pStyle w:val="AltBilgi1"/>
            <w:jc w:val="center"/>
            <w:rPr>
              <w:b/>
            </w:rPr>
          </w:pPr>
          <w:r w:rsidRPr="00152ACC">
            <w:rPr>
              <w:b/>
            </w:rPr>
            <w:t>Genel Sekreter</w:t>
          </w:r>
        </w:p>
      </w:tc>
      <w:tc>
        <w:tcPr>
          <w:tcW w:w="2816" w:type="dxa"/>
          <w:shd w:val="clear" w:color="auto" w:fill="auto"/>
        </w:tcPr>
        <w:p w:rsidR="00ED3A45" w:rsidRPr="00152ACC" w:rsidRDefault="00ED3A45" w:rsidP="00ED3A45">
          <w:pPr>
            <w:pStyle w:val="AltBilgi1"/>
            <w:jc w:val="center"/>
            <w:rPr>
              <w:b/>
            </w:rPr>
          </w:pPr>
          <w:r w:rsidRPr="00152ACC">
            <w:rPr>
              <w:b/>
            </w:rPr>
            <w:t>Onay</w:t>
          </w:r>
        </w:p>
      </w:tc>
      <w:tc>
        <w:tcPr>
          <w:tcW w:w="2564" w:type="dxa"/>
          <w:shd w:val="clear" w:color="auto" w:fill="auto"/>
        </w:tcPr>
        <w:p w:rsidR="00ED3A45" w:rsidRPr="00152ACC" w:rsidRDefault="00ED3A45" w:rsidP="00ED3A45">
          <w:pPr>
            <w:pStyle w:val="AltBilgi1"/>
            <w:jc w:val="center"/>
            <w:rPr>
              <w:b/>
            </w:rPr>
          </w:pPr>
          <w:r w:rsidRPr="00152ACC">
            <w:rPr>
              <w:b/>
            </w:rPr>
            <w:t>Kalite Sistem Onayı</w:t>
          </w:r>
        </w:p>
      </w:tc>
    </w:tr>
    <w:tr w:rsidR="00ED3A45" w:rsidTr="00DA5622">
      <w:trPr>
        <w:trHeight w:val="604"/>
      </w:trPr>
      <w:tc>
        <w:tcPr>
          <w:tcW w:w="2405" w:type="dxa"/>
          <w:shd w:val="clear" w:color="auto" w:fill="auto"/>
        </w:tcPr>
        <w:p w:rsidR="00ED3A45" w:rsidRDefault="00ED3A45" w:rsidP="00ED3A45">
          <w:pPr>
            <w:pStyle w:val="AltBilgi1"/>
            <w:jc w:val="center"/>
          </w:pPr>
          <w:r w:rsidRPr="00F24396">
            <w:t xml:space="preserve">Gıda Mühendisi      </w:t>
          </w:r>
          <w:r>
            <w:t xml:space="preserve">                                    </w:t>
          </w:r>
          <w:r w:rsidRPr="00F24396">
            <w:t xml:space="preserve"> Emel ÇOLAK YILDIZ</w:t>
          </w:r>
        </w:p>
      </w:tc>
      <w:tc>
        <w:tcPr>
          <w:tcW w:w="2835" w:type="dxa"/>
        </w:tcPr>
        <w:p w:rsidR="00ED3A45" w:rsidRDefault="00ED3A45" w:rsidP="00ED3A45">
          <w:pPr>
            <w:pStyle w:val="AltBilgi1"/>
            <w:jc w:val="center"/>
          </w:pPr>
          <w:r>
            <w:t>Çağatay ASLAN</w:t>
          </w:r>
        </w:p>
      </w:tc>
      <w:tc>
        <w:tcPr>
          <w:tcW w:w="2816" w:type="dxa"/>
          <w:shd w:val="clear" w:color="auto" w:fill="auto"/>
        </w:tcPr>
        <w:p w:rsidR="00ED3A45" w:rsidRDefault="00ED3A45" w:rsidP="00ED3A45">
          <w:pPr>
            <w:pStyle w:val="AltBilgi1"/>
            <w:jc w:val="center"/>
          </w:pPr>
          <w:r>
            <w:t>Prof. Dr. Semih EKERCİN</w:t>
          </w:r>
        </w:p>
      </w:tc>
      <w:tc>
        <w:tcPr>
          <w:tcW w:w="2564" w:type="dxa"/>
          <w:shd w:val="clear" w:color="auto" w:fill="auto"/>
        </w:tcPr>
        <w:p w:rsidR="00ED3A45" w:rsidRDefault="00ED3A45" w:rsidP="00ED3A45">
          <w:pPr>
            <w:pStyle w:val="AltBilgi1"/>
            <w:jc w:val="center"/>
          </w:pPr>
          <w:r>
            <w:t>Şafak GÜR</w:t>
          </w:r>
        </w:p>
      </w:tc>
    </w:tr>
  </w:tbl>
  <w:p w:rsidR="004D3DCC" w:rsidRDefault="004D3DCC" w:rsidP="004D3DCC">
    <w:pPr>
      <w:pStyle w:val="AltBilgi1"/>
      <w:rPr>
        <w:sz w:val="16"/>
      </w:rPr>
    </w:pPr>
    <w:r>
      <w:rPr>
        <w:sz w:val="16"/>
      </w:rPr>
      <w:t xml:space="preserve">Form </w:t>
    </w:r>
    <w:proofErr w:type="gramStart"/>
    <w:r>
      <w:rPr>
        <w:sz w:val="16"/>
      </w:rPr>
      <w:t>No:KY</w:t>
    </w:r>
    <w:proofErr w:type="gramEnd"/>
    <w:r>
      <w:rPr>
        <w:sz w:val="16"/>
      </w:rPr>
      <w:t>-FR-0037 Yayın Tarihi:03.05.2018 Değ.No:0 Değ. Tarihi:-</w:t>
    </w:r>
  </w:p>
  <w:p w:rsidR="00680656" w:rsidRPr="00B329A8" w:rsidRDefault="00680656" w:rsidP="00413CEB">
    <w:pPr>
      <w:pStyle w:val="AltBilgi1"/>
      <w:rPr>
        <w:sz w:val="16"/>
      </w:rPr>
    </w:pPr>
  </w:p>
  <w:p w:rsidR="00680656" w:rsidRPr="00B329A8" w:rsidRDefault="00680656" w:rsidP="00413CEB">
    <w:pPr>
      <w:pStyle w:val="AltBilgi1"/>
      <w:rPr>
        <w:rFonts w:ascii="Arial Narrow" w:hAnsi="Arial Narrow"/>
        <w:sz w:val="16"/>
      </w:rPr>
    </w:pPr>
  </w:p>
  <w:p w:rsidR="00680656" w:rsidRPr="00804755" w:rsidRDefault="00680656" w:rsidP="00CE2F0E">
    <w:pPr>
      <w:pStyle w:val="AltBilgi1"/>
      <w:rPr>
        <w:rFonts w:ascii="Arial Narrow" w:hAnsi="Arial Narrow"/>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5B2" w:rsidRDefault="002535B2">
      <w:r>
        <w:separator/>
      </w:r>
    </w:p>
  </w:footnote>
  <w:footnote w:type="continuationSeparator" w:id="0">
    <w:p w:rsidR="002535B2" w:rsidRDefault="002535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261"/>
      <w:gridCol w:w="4551"/>
      <w:gridCol w:w="1572"/>
      <w:gridCol w:w="1356"/>
    </w:tblGrid>
    <w:tr w:rsidR="00680656" w:rsidRPr="004C4F87" w:rsidTr="00BC0749">
      <w:trPr>
        <w:trHeight w:val="340"/>
      </w:trPr>
      <w:tc>
        <w:tcPr>
          <w:tcW w:w="3261" w:type="dxa"/>
          <w:vMerge w:val="restart"/>
        </w:tcPr>
        <w:p w:rsidR="00680656" w:rsidRDefault="00680656" w:rsidP="00413CEB">
          <w:pPr>
            <w:jc w:val="center"/>
            <w:rPr>
              <w:noProof/>
              <w:sz w:val="16"/>
            </w:rPr>
          </w:pPr>
        </w:p>
        <w:p w:rsidR="00680656" w:rsidRPr="004C4F87" w:rsidRDefault="00680656" w:rsidP="00413CEB">
          <w:pPr>
            <w:jc w:val="center"/>
            <w:rPr>
              <w:sz w:val="16"/>
            </w:rPr>
          </w:pPr>
          <w:r>
            <w:rPr>
              <w:noProof/>
            </w:rPr>
            <w:drawing>
              <wp:inline distT="0" distB="0" distL="0" distR="0" wp14:anchorId="5DA53ECA" wp14:editId="2766A539">
                <wp:extent cx="1972438" cy="676275"/>
                <wp:effectExtent l="0" t="0" r="889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1"/>
                        <a:stretch>
                          <a:fillRect/>
                        </a:stretch>
                      </pic:blipFill>
                      <pic:spPr>
                        <a:xfrm>
                          <a:off x="0" y="0"/>
                          <a:ext cx="1976488" cy="677664"/>
                        </a:xfrm>
                        <a:prstGeom prst="rect">
                          <a:avLst/>
                        </a:prstGeom>
                      </pic:spPr>
                    </pic:pic>
                  </a:graphicData>
                </a:graphic>
              </wp:inline>
            </w:drawing>
          </w:r>
        </w:p>
      </w:tc>
      <w:tc>
        <w:tcPr>
          <w:tcW w:w="4551" w:type="dxa"/>
          <w:vMerge w:val="restart"/>
          <w:vAlign w:val="center"/>
        </w:tcPr>
        <w:p w:rsidR="00680656" w:rsidRPr="007064E7" w:rsidRDefault="00680656" w:rsidP="004C4F87">
          <w:pPr>
            <w:jc w:val="center"/>
            <w:rPr>
              <w:rFonts w:ascii="Arial Narrow" w:hAnsi="Arial Narrow"/>
              <w:b/>
              <w:sz w:val="36"/>
              <w:szCs w:val="36"/>
            </w:rPr>
          </w:pPr>
          <w:r w:rsidRPr="007064E7">
            <w:rPr>
              <w:rFonts w:ascii="Arial Narrow" w:hAnsi="Arial Narrow"/>
              <w:b/>
              <w:sz w:val="36"/>
              <w:szCs w:val="36"/>
            </w:rPr>
            <w:t>PROSEDÜR</w:t>
          </w:r>
        </w:p>
      </w:tc>
      <w:tc>
        <w:tcPr>
          <w:tcW w:w="1572" w:type="dxa"/>
          <w:vAlign w:val="center"/>
        </w:tcPr>
        <w:p w:rsidR="00680656" w:rsidRPr="006713B6" w:rsidRDefault="00680656" w:rsidP="00012FC6">
          <w:pPr>
            <w:rPr>
              <w:rFonts w:ascii="Arial Narrow" w:hAnsi="Arial Narrow"/>
              <w:b/>
              <w:sz w:val="24"/>
              <w:szCs w:val="24"/>
            </w:rPr>
          </w:pPr>
          <w:r w:rsidRPr="006713B6">
            <w:rPr>
              <w:rFonts w:ascii="Arial Narrow" w:hAnsi="Arial Narrow"/>
              <w:b/>
              <w:sz w:val="24"/>
              <w:szCs w:val="24"/>
            </w:rPr>
            <w:t>Doküman kodu</w:t>
          </w:r>
        </w:p>
      </w:tc>
      <w:tc>
        <w:tcPr>
          <w:tcW w:w="1356" w:type="dxa"/>
          <w:vAlign w:val="center"/>
        </w:tcPr>
        <w:p w:rsidR="00680656" w:rsidRPr="00475DB8" w:rsidRDefault="00475DB8" w:rsidP="00EA5864">
          <w:pPr>
            <w:rPr>
              <w:rFonts w:ascii="Arial Narrow" w:hAnsi="Arial Narrow"/>
              <w:sz w:val="18"/>
              <w:szCs w:val="18"/>
            </w:rPr>
          </w:pPr>
          <w:r w:rsidRPr="00475DB8">
            <w:rPr>
              <w:rFonts w:ascii="Arial Narrow" w:hAnsi="Arial Narrow"/>
              <w:sz w:val="18"/>
              <w:szCs w:val="18"/>
            </w:rPr>
            <w:t>DH-PR-00</w:t>
          </w:r>
          <w:r w:rsidR="00EA5864">
            <w:rPr>
              <w:rFonts w:ascii="Arial Narrow" w:hAnsi="Arial Narrow"/>
              <w:sz w:val="18"/>
              <w:szCs w:val="18"/>
            </w:rPr>
            <w:t>0</w:t>
          </w:r>
          <w:r w:rsidR="00BC0749">
            <w:rPr>
              <w:rFonts w:ascii="Arial Narrow" w:hAnsi="Arial Narrow"/>
              <w:sz w:val="18"/>
              <w:szCs w:val="18"/>
            </w:rPr>
            <w:t>6</w:t>
          </w:r>
        </w:p>
      </w:tc>
    </w:tr>
    <w:tr w:rsidR="00680656" w:rsidRPr="004C4F87" w:rsidTr="00BC0749">
      <w:tblPrEx>
        <w:tblCellMar>
          <w:left w:w="108" w:type="dxa"/>
          <w:right w:w="108" w:type="dxa"/>
        </w:tblCellMar>
      </w:tblPrEx>
      <w:trPr>
        <w:trHeight w:val="340"/>
      </w:trPr>
      <w:tc>
        <w:tcPr>
          <w:tcW w:w="3261" w:type="dxa"/>
          <w:vMerge/>
        </w:tcPr>
        <w:p w:rsidR="00680656" w:rsidRDefault="00680656" w:rsidP="003F1B0C"/>
      </w:tc>
      <w:tc>
        <w:tcPr>
          <w:tcW w:w="4551" w:type="dxa"/>
          <w:vMerge/>
          <w:vAlign w:val="center"/>
        </w:tcPr>
        <w:p w:rsidR="00680656" w:rsidRPr="007064E7" w:rsidRDefault="00680656" w:rsidP="004C4F87">
          <w:pPr>
            <w:jc w:val="center"/>
            <w:rPr>
              <w:rFonts w:ascii="Arial Narrow" w:hAnsi="Arial Narrow"/>
              <w:b/>
              <w:sz w:val="36"/>
              <w:szCs w:val="36"/>
            </w:rPr>
          </w:pPr>
        </w:p>
      </w:tc>
      <w:tc>
        <w:tcPr>
          <w:tcW w:w="1572" w:type="dxa"/>
          <w:vAlign w:val="center"/>
        </w:tcPr>
        <w:p w:rsidR="00680656" w:rsidRPr="006713B6" w:rsidRDefault="00680656" w:rsidP="005F7375">
          <w:pPr>
            <w:rPr>
              <w:rFonts w:ascii="Arial Narrow" w:hAnsi="Arial Narrow"/>
              <w:b/>
              <w:sz w:val="24"/>
              <w:szCs w:val="24"/>
            </w:rPr>
          </w:pPr>
          <w:r w:rsidRPr="006713B6">
            <w:rPr>
              <w:rFonts w:ascii="Arial Narrow" w:hAnsi="Arial Narrow"/>
              <w:b/>
              <w:sz w:val="24"/>
              <w:szCs w:val="24"/>
            </w:rPr>
            <w:t>Yayın tarihi</w:t>
          </w:r>
        </w:p>
      </w:tc>
      <w:tc>
        <w:tcPr>
          <w:tcW w:w="1356" w:type="dxa"/>
          <w:vAlign w:val="center"/>
        </w:tcPr>
        <w:p w:rsidR="00680656" w:rsidRPr="00475DB8" w:rsidRDefault="005F19C3" w:rsidP="005F7375">
          <w:pPr>
            <w:rPr>
              <w:rFonts w:ascii="Arial Narrow" w:hAnsi="Arial Narrow"/>
              <w:sz w:val="16"/>
              <w:szCs w:val="16"/>
            </w:rPr>
          </w:pPr>
          <w:r>
            <w:rPr>
              <w:rFonts w:ascii="Arial Narrow" w:hAnsi="Arial Narrow"/>
              <w:sz w:val="16"/>
              <w:szCs w:val="16"/>
            </w:rPr>
            <w:t>01</w:t>
          </w:r>
          <w:r w:rsidR="00E14D95">
            <w:rPr>
              <w:rFonts w:ascii="Arial Narrow" w:hAnsi="Arial Narrow"/>
              <w:sz w:val="16"/>
              <w:szCs w:val="16"/>
            </w:rPr>
            <w:t>.11</w:t>
          </w:r>
          <w:r w:rsidR="00475DB8">
            <w:rPr>
              <w:rFonts w:ascii="Arial Narrow" w:hAnsi="Arial Narrow"/>
              <w:sz w:val="16"/>
              <w:szCs w:val="16"/>
            </w:rPr>
            <w:t>.2021</w:t>
          </w:r>
        </w:p>
      </w:tc>
    </w:tr>
    <w:tr w:rsidR="00BC0749" w:rsidRPr="004C4F87" w:rsidTr="00BC0749">
      <w:tblPrEx>
        <w:tblCellMar>
          <w:left w:w="108" w:type="dxa"/>
          <w:right w:w="108" w:type="dxa"/>
        </w:tblCellMar>
      </w:tblPrEx>
      <w:trPr>
        <w:trHeight w:val="340"/>
      </w:trPr>
      <w:tc>
        <w:tcPr>
          <w:tcW w:w="3261" w:type="dxa"/>
          <w:vMerge/>
        </w:tcPr>
        <w:p w:rsidR="00BC0749" w:rsidRDefault="00BC0749" w:rsidP="00BC0749"/>
      </w:tc>
      <w:tc>
        <w:tcPr>
          <w:tcW w:w="4551" w:type="dxa"/>
          <w:vMerge w:val="restart"/>
          <w:vAlign w:val="center"/>
        </w:tcPr>
        <w:p w:rsidR="00BC0749" w:rsidRPr="00D960BD" w:rsidRDefault="00BC0749" w:rsidP="00BC0749">
          <w:pPr>
            <w:pStyle w:val="a"/>
            <w:jc w:val="center"/>
            <w:rPr>
              <w:rFonts w:ascii="Arial" w:hAnsi="Arial" w:cs="Arial"/>
              <w:b/>
              <w:sz w:val="24"/>
              <w:szCs w:val="24"/>
            </w:rPr>
          </w:pPr>
          <w:r>
            <w:rPr>
              <w:rFonts w:ascii="Arial" w:hAnsi="Arial" w:cs="Arial"/>
              <w:b/>
              <w:sz w:val="24"/>
              <w:szCs w:val="24"/>
            </w:rPr>
            <w:t>GEÇERLİ KILMA, DOĞRULAMA   VE GÜNCELLEME PROSEDÜRÜ</w:t>
          </w:r>
        </w:p>
      </w:tc>
      <w:tc>
        <w:tcPr>
          <w:tcW w:w="1572" w:type="dxa"/>
          <w:vAlign w:val="center"/>
        </w:tcPr>
        <w:p w:rsidR="00BC0749" w:rsidRPr="006713B6" w:rsidRDefault="00BC0749" w:rsidP="00BC0749">
          <w:pPr>
            <w:rPr>
              <w:rFonts w:ascii="Arial Narrow" w:hAnsi="Arial Narrow"/>
              <w:b/>
              <w:sz w:val="24"/>
              <w:szCs w:val="24"/>
            </w:rPr>
          </w:pPr>
          <w:r>
            <w:rPr>
              <w:rFonts w:ascii="Arial Narrow" w:hAnsi="Arial Narrow"/>
              <w:b/>
              <w:sz w:val="24"/>
              <w:szCs w:val="24"/>
            </w:rPr>
            <w:t>Değ.</w:t>
          </w:r>
          <w:r w:rsidRPr="006713B6">
            <w:rPr>
              <w:rFonts w:ascii="Arial Narrow" w:hAnsi="Arial Narrow"/>
              <w:b/>
              <w:sz w:val="24"/>
              <w:szCs w:val="24"/>
            </w:rPr>
            <w:t xml:space="preserve"> No</w:t>
          </w:r>
        </w:p>
      </w:tc>
      <w:tc>
        <w:tcPr>
          <w:tcW w:w="1356" w:type="dxa"/>
          <w:vAlign w:val="center"/>
        </w:tcPr>
        <w:p w:rsidR="00BC0749" w:rsidRPr="006713B6" w:rsidRDefault="00C92D8F" w:rsidP="00BC0749">
          <w:pPr>
            <w:rPr>
              <w:rFonts w:ascii="Arial Narrow" w:hAnsi="Arial Narrow"/>
              <w:sz w:val="24"/>
              <w:szCs w:val="24"/>
            </w:rPr>
          </w:pPr>
          <w:r>
            <w:rPr>
              <w:rFonts w:ascii="Arial Narrow" w:hAnsi="Arial Narrow"/>
              <w:sz w:val="24"/>
              <w:szCs w:val="24"/>
            </w:rPr>
            <w:t>1</w:t>
          </w:r>
        </w:p>
      </w:tc>
    </w:tr>
    <w:tr w:rsidR="00680656" w:rsidRPr="004C4F87" w:rsidTr="00BC0749">
      <w:tblPrEx>
        <w:tblCellMar>
          <w:left w:w="108" w:type="dxa"/>
          <w:right w:w="108" w:type="dxa"/>
        </w:tblCellMar>
      </w:tblPrEx>
      <w:trPr>
        <w:trHeight w:val="340"/>
      </w:trPr>
      <w:tc>
        <w:tcPr>
          <w:tcW w:w="3261" w:type="dxa"/>
          <w:vMerge/>
        </w:tcPr>
        <w:p w:rsidR="00680656" w:rsidRDefault="00680656" w:rsidP="003F1B0C"/>
      </w:tc>
      <w:tc>
        <w:tcPr>
          <w:tcW w:w="4551" w:type="dxa"/>
          <w:vMerge/>
          <w:vAlign w:val="center"/>
        </w:tcPr>
        <w:p w:rsidR="00680656" w:rsidRPr="007064E7" w:rsidRDefault="00680656" w:rsidP="004C4F87">
          <w:pPr>
            <w:jc w:val="center"/>
            <w:rPr>
              <w:rFonts w:ascii="Arial Narrow" w:hAnsi="Arial Narrow"/>
              <w:b/>
              <w:sz w:val="24"/>
              <w:szCs w:val="24"/>
            </w:rPr>
          </w:pPr>
        </w:p>
      </w:tc>
      <w:tc>
        <w:tcPr>
          <w:tcW w:w="1572" w:type="dxa"/>
          <w:vAlign w:val="center"/>
        </w:tcPr>
        <w:p w:rsidR="00680656" w:rsidRPr="006713B6" w:rsidRDefault="00680656" w:rsidP="00156988">
          <w:pPr>
            <w:rPr>
              <w:rFonts w:ascii="Arial Narrow" w:hAnsi="Arial Narrow"/>
              <w:b/>
              <w:sz w:val="24"/>
              <w:szCs w:val="24"/>
            </w:rPr>
          </w:pPr>
          <w:proofErr w:type="gramStart"/>
          <w:r>
            <w:rPr>
              <w:rFonts w:ascii="Arial Narrow" w:hAnsi="Arial Narrow"/>
              <w:b/>
              <w:sz w:val="24"/>
              <w:szCs w:val="24"/>
            </w:rPr>
            <w:t>Değ .</w:t>
          </w:r>
          <w:r w:rsidRPr="006713B6">
            <w:rPr>
              <w:rFonts w:ascii="Arial Narrow" w:hAnsi="Arial Narrow"/>
              <w:b/>
              <w:sz w:val="24"/>
              <w:szCs w:val="24"/>
            </w:rPr>
            <w:t>Tarihi</w:t>
          </w:r>
          <w:proofErr w:type="gramEnd"/>
        </w:p>
      </w:tc>
      <w:tc>
        <w:tcPr>
          <w:tcW w:w="1356" w:type="dxa"/>
          <w:vAlign w:val="center"/>
        </w:tcPr>
        <w:p w:rsidR="00475DB8" w:rsidRPr="006713B6" w:rsidRDefault="00C92D8F" w:rsidP="00CE2F0E">
          <w:pPr>
            <w:rPr>
              <w:rFonts w:ascii="Arial Narrow" w:hAnsi="Arial Narrow"/>
              <w:sz w:val="24"/>
              <w:szCs w:val="24"/>
            </w:rPr>
          </w:pPr>
          <w:r>
            <w:rPr>
              <w:rFonts w:ascii="Arial Narrow" w:hAnsi="Arial Narrow"/>
              <w:sz w:val="24"/>
              <w:szCs w:val="24"/>
            </w:rPr>
            <w:t>26.12.2022</w:t>
          </w:r>
        </w:p>
      </w:tc>
    </w:tr>
  </w:tbl>
  <w:p w:rsidR="00680656" w:rsidRDefault="00680656">
    <w:pPr>
      <w:pStyle w:val="stBilgi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E7B"/>
    <w:multiLevelType w:val="hybridMultilevel"/>
    <w:tmpl w:val="A6E6644A"/>
    <w:lvl w:ilvl="0" w:tplc="041F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15671BC"/>
    <w:multiLevelType w:val="hybridMultilevel"/>
    <w:tmpl w:val="172C5216"/>
    <w:lvl w:ilvl="0" w:tplc="041F0001">
      <w:start w:val="1"/>
      <w:numFmt w:val="bullet"/>
      <w:lvlText w:val=""/>
      <w:lvlJc w:val="left"/>
      <w:pPr>
        <w:tabs>
          <w:tab w:val="num" w:pos="1004"/>
        </w:tabs>
        <w:ind w:left="1004"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4B00763"/>
    <w:multiLevelType w:val="hybridMultilevel"/>
    <w:tmpl w:val="2BE2D7EC"/>
    <w:lvl w:ilvl="0" w:tplc="3526489E">
      <w:start w:val="1"/>
      <w:numFmt w:val="lowerLetter"/>
      <w:lvlText w:val="%1)"/>
      <w:lvlJc w:val="left"/>
      <w:pPr>
        <w:ind w:left="720" w:hanging="360"/>
      </w:pPr>
      <w:rPr>
        <w:rFonts w:ascii="Arial" w:eastAsia="Times New Roman" w:hAnsi="Arial"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0C0D8F"/>
    <w:multiLevelType w:val="hybridMultilevel"/>
    <w:tmpl w:val="BE207DEA"/>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E8C4968"/>
    <w:multiLevelType w:val="multilevel"/>
    <w:tmpl w:val="88908132"/>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b/>
        <w:color w:val="00000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10B343E9"/>
    <w:multiLevelType w:val="hybridMultilevel"/>
    <w:tmpl w:val="2AE4D4AE"/>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170A0A32"/>
    <w:multiLevelType w:val="hybridMultilevel"/>
    <w:tmpl w:val="5028646C"/>
    <w:lvl w:ilvl="0" w:tplc="2D0A23B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3573FE"/>
    <w:multiLevelType w:val="multilevel"/>
    <w:tmpl w:val="36BC2E7E"/>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098"/>
        </w:tabs>
        <w:ind w:left="1098" w:hanging="39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8" w15:restartNumberingAfterBreak="0">
    <w:nsid w:val="1CA933CB"/>
    <w:multiLevelType w:val="hybridMultilevel"/>
    <w:tmpl w:val="4FBC41FE"/>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EF01EE4"/>
    <w:multiLevelType w:val="multilevel"/>
    <w:tmpl w:val="E65C13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2121B"/>
    <w:multiLevelType w:val="multilevel"/>
    <w:tmpl w:val="36BC2E7E"/>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098"/>
        </w:tabs>
        <w:ind w:left="1098" w:hanging="39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1" w15:restartNumberingAfterBreak="0">
    <w:nsid w:val="1F9E3875"/>
    <w:multiLevelType w:val="hybridMultilevel"/>
    <w:tmpl w:val="32C2BD9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11D159B"/>
    <w:multiLevelType w:val="multilevel"/>
    <w:tmpl w:val="38F68964"/>
    <w:lvl w:ilvl="0">
      <w:start w:val="4"/>
      <w:numFmt w:val="decimal"/>
      <w:lvlText w:val="%1.0"/>
      <w:lvlJc w:val="left"/>
      <w:pPr>
        <w:tabs>
          <w:tab w:val="num" w:pos="1083"/>
        </w:tabs>
        <w:ind w:left="1083" w:hanging="465"/>
      </w:pPr>
      <w:rPr>
        <w:rFonts w:hint="default"/>
        <w:b/>
      </w:rPr>
    </w:lvl>
    <w:lvl w:ilvl="1">
      <w:start w:val="1"/>
      <w:numFmt w:val="decimal"/>
      <w:lvlText w:val="%1.%2"/>
      <w:lvlJc w:val="left"/>
      <w:pPr>
        <w:tabs>
          <w:tab w:val="num" w:pos="1791"/>
        </w:tabs>
        <w:ind w:left="1791" w:hanging="465"/>
      </w:pPr>
      <w:rPr>
        <w:rFonts w:hint="default"/>
        <w:b/>
      </w:rPr>
    </w:lvl>
    <w:lvl w:ilvl="2">
      <w:start w:val="1"/>
      <w:numFmt w:val="decimalZero"/>
      <w:lvlText w:val="%1.%2.%3"/>
      <w:lvlJc w:val="left"/>
      <w:pPr>
        <w:tabs>
          <w:tab w:val="num" w:pos="2754"/>
        </w:tabs>
        <w:ind w:left="2754" w:hanging="720"/>
      </w:pPr>
      <w:rPr>
        <w:rFonts w:hint="default"/>
        <w:b/>
      </w:rPr>
    </w:lvl>
    <w:lvl w:ilvl="3">
      <w:start w:val="1"/>
      <w:numFmt w:val="decimal"/>
      <w:lvlText w:val="%1.%2.%3.%4"/>
      <w:lvlJc w:val="left"/>
      <w:pPr>
        <w:tabs>
          <w:tab w:val="num" w:pos="3822"/>
        </w:tabs>
        <w:ind w:left="3822" w:hanging="1080"/>
      </w:pPr>
      <w:rPr>
        <w:rFonts w:hint="default"/>
        <w:b/>
      </w:rPr>
    </w:lvl>
    <w:lvl w:ilvl="4">
      <w:start w:val="1"/>
      <w:numFmt w:val="decimal"/>
      <w:lvlText w:val="%1.%2.%3.%4.%5"/>
      <w:lvlJc w:val="left"/>
      <w:pPr>
        <w:tabs>
          <w:tab w:val="num" w:pos="4530"/>
        </w:tabs>
        <w:ind w:left="4530" w:hanging="1080"/>
      </w:pPr>
      <w:rPr>
        <w:rFonts w:hint="default"/>
        <w:b/>
      </w:rPr>
    </w:lvl>
    <w:lvl w:ilvl="5">
      <w:start w:val="1"/>
      <w:numFmt w:val="decimal"/>
      <w:lvlText w:val="%1.%2.%3.%4.%5.%6"/>
      <w:lvlJc w:val="left"/>
      <w:pPr>
        <w:tabs>
          <w:tab w:val="num" w:pos="5598"/>
        </w:tabs>
        <w:ind w:left="5598" w:hanging="1440"/>
      </w:pPr>
      <w:rPr>
        <w:rFonts w:hint="default"/>
        <w:b/>
      </w:rPr>
    </w:lvl>
    <w:lvl w:ilvl="6">
      <w:start w:val="1"/>
      <w:numFmt w:val="decimal"/>
      <w:lvlText w:val="%1.%2.%3.%4.%5.%6.%7"/>
      <w:lvlJc w:val="left"/>
      <w:pPr>
        <w:tabs>
          <w:tab w:val="num" w:pos="6306"/>
        </w:tabs>
        <w:ind w:left="6306" w:hanging="1440"/>
      </w:pPr>
      <w:rPr>
        <w:rFonts w:hint="default"/>
        <w:b/>
      </w:rPr>
    </w:lvl>
    <w:lvl w:ilvl="7">
      <w:start w:val="1"/>
      <w:numFmt w:val="decimal"/>
      <w:lvlText w:val="%1.%2.%3.%4.%5.%6.%7.%8"/>
      <w:lvlJc w:val="left"/>
      <w:pPr>
        <w:tabs>
          <w:tab w:val="num" w:pos="7374"/>
        </w:tabs>
        <w:ind w:left="7374" w:hanging="1800"/>
      </w:pPr>
      <w:rPr>
        <w:rFonts w:hint="default"/>
        <w:b/>
      </w:rPr>
    </w:lvl>
    <w:lvl w:ilvl="8">
      <w:start w:val="1"/>
      <w:numFmt w:val="decimal"/>
      <w:lvlText w:val="%1.%2.%3.%4.%5.%6.%7.%8.%9"/>
      <w:lvlJc w:val="left"/>
      <w:pPr>
        <w:tabs>
          <w:tab w:val="num" w:pos="8082"/>
        </w:tabs>
        <w:ind w:left="8082" w:hanging="1800"/>
      </w:pPr>
      <w:rPr>
        <w:rFonts w:hint="default"/>
        <w:b/>
      </w:rPr>
    </w:lvl>
  </w:abstractNum>
  <w:abstractNum w:abstractNumId="13" w15:restartNumberingAfterBreak="0">
    <w:nsid w:val="252F247B"/>
    <w:multiLevelType w:val="hybridMultilevel"/>
    <w:tmpl w:val="7C6E1256"/>
    <w:lvl w:ilvl="0" w:tplc="92F0787A">
      <w:start w:val="1"/>
      <w:numFmt w:val="bullet"/>
      <w:lvlText w:val=""/>
      <w:lvlJc w:val="left"/>
      <w:pPr>
        <w:tabs>
          <w:tab w:val="num" w:pos="1730"/>
        </w:tabs>
        <w:ind w:left="1730" w:hanging="360"/>
      </w:pPr>
      <w:rPr>
        <w:rFonts w:ascii="Symbol" w:hAnsi="Symbol" w:hint="default"/>
        <w:color w:val="auto"/>
      </w:rPr>
    </w:lvl>
    <w:lvl w:ilvl="1" w:tplc="041F0003" w:tentative="1">
      <w:start w:val="1"/>
      <w:numFmt w:val="bullet"/>
      <w:lvlText w:val="o"/>
      <w:lvlJc w:val="left"/>
      <w:pPr>
        <w:tabs>
          <w:tab w:val="num" w:pos="2090"/>
        </w:tabs>
        <w:ind w:left="2090" w:hanging="360"/>
      </w:pPr>
      <w:rPr>
        <w:rFonts w:ascii="Courier New" w:hAnsi="Courier New" w:hint="default"/>
      </w:rPr>
    </w:lvl>
    <w:lvl w:ilvl="2" w:tplc="041F0005" w:tentative="1">
      <w:start w:val="1"/>
      <w:numFmt w:val="bullet"/>
      <w:lvlText w:val=""/>
      <w:lvlJc w:val="left"/>
      <w:pPr>
        <w:tabs>
          <w:tab w:val="num" w:pos="2810"/>
        </w:tabs>
        <w:ind w:left="2810" w:hanging="360"/>
      </w:pPr>
      <w:rPr>
        <w:rFonts w:ascii="Wingdings" w:hAnsi="Wingdings" w:hint="default"/>
      </w:rPr>
    </w:lvl>
    <w:lvl w:ilvl="3" w:tplc="041F0001" w:tentative="1">
      <w:start w:val="1"/>
      <w:numFmt w:val="bullet"/>
      <w:lvlText w:val=""/>
      <w:lvlJc w:val="left"/>
      <w:pPr>
        <w:tabs>
          <w:tab w:val="num" w:pos="3530"/>
        </w:tabs>
        <w:ind w:left="3530" w:hanging="360"/>
      </w:pPr>
      <w:rPr>
        <w:rFonts w:ascii="Symbol" w:hAnsi="Symbol" w:hint="default"/>
      </w:rPr>
    </w:lvl>
    <w:lvl w:ilvl="4" w:tplc="041F0003" w:tentative="1">
      <w:start w:val="1"/>
      <w:numFmt w:val="bullet"/>
      <w:lvlText w:val="o"/>
      <w:lvlJc w:val="left"/>
      <w:pPr>
        <w:tabs>
          <w:tab w:val="num" w:pos="4250"/>
        </w:tabs>
        <w:ind w:left="4250" w:hanging="360"/>
      </w:pPr>
      <w:rPr>
        <w:rFonts w:ascii="Courier New" w:hAnsi="Courier New" w:hint="default"/>
      </w:rPr>
    </w:lvl>
    <w:lvl w:ilvl="5" w:tplc="041F0005" w:tentative="1">
      <w:start w:val="1"/>
      <w:numFmt w:val="bullet"/>
      <w:lvlText w:val=""/>
      <w:lvlJc w:val="left"/>
      <w:pPr>
        <w:tabs>
          <w:tab w:val="num" w:pos="4970"/>
        </w:tabs>
        <w:ind w:left="4970" w:hanging="360"/>
      </w:pPr>
      <w:rPr>
        <w:rFonts w:ascii="Wingdings" w:hAnsi="Wingdings" w:hint="default"/>
      </w:rPr>
    </w:lvl>
    <w:lvl w:ilvl="6" w:tplc="041F0001" w:tentative="1">
      <w:start w:val="1"/>
      <w:numFmt w:val="bullet"/>
      <w:lvlText w:val=""/>
      <w:lvlJc w:val="left"/>
      <w:pPr>
        <w:tabs>
          <w:tab w:val="num" w:pos="5690"/>
        </w:tabs>
        <w:ind w:left="5690" w:hanging="360"/>
      </w:pPr>
      <w:rPr>
        <w:rFonts w:ascii="Symbol" w:hAnsi="Symbol" w:hint="default"/>
      </w:rPr>
    </w:lvl>
    <w:lvl w:ilvl="7" w:tplc="041F0003" w:tentative="1">
      <w:start w:val="1"/>
      <w:numFmt w:val="bullet"/>
      <w:lvlText w:val="o"/>
      <w:lvlJc w:val="left"/>
      <w:pPr>
        <w:tabs>
          <w:tab w:val="num" w:pos="6410"/>
        </w:tabs>
        <w:ind w:left="6410" w:hanging="360"/>
      </w:pPr>
      <w:rPr>
        <w:rFonts w:ascii="Courier New" w:hAnsi="Courier New" w:hint="default"/>
      </w:rPr>
    </w:lvl>
    <w:lvl w:ilvl="8" w:tplc="041F0005" w:tentative="1">
      <w:start w:val="1"/>
      <w:numFmt w:val="bullet"/>
      <w:lvlText w:val=""/>
      <w:lvlJc w:val="left"/>
      <w:pPr>
        <w:tabs>
          <w:tab w:val="num" w:pos="7130"/>
        </w:tabs>
        <w:ind w:left="7130" w:hanging="360"/>
      </w:pPr>
      <w:rPr>
        <w:rFonts w:ascii="Wingdings" w:hAnsi="Wingdings" w:hint="default"/>
      </w:rPr>
    </w:lvl>
  </w:abstractNum>
  <w:abstractNum w:abstractNumId="14" w15:restartNumberingAfterBreak="0">
    <w:nsid w:val="28837307"/>
    <w:multiLevelType w:val="hybridMultilevel"/>
    <w:tmpl w:val="553422B6"/>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C74243B"/>
    <w:multiLevelType w:val="multilevel"/>
    <w:tmpl w:val="27486B66"/>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isLgl/>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6" w15:restartNumberingAfterBreak="0">
    <w:nsid w:val="2C9D3E45"/>
    <w:multiLevelType w:val="hybridMultilevel"/>
    <w:tmpl w:val="4154B19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BA663B"/>
    <w:multiLevelType w:val="hybridMultilevel"/>
    <w:tmpl w:val="725CB9B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E16F34"/>
    <w:multiLevelType w:val="hybridMultilevel"/>
    <w:tmpl w:val="B68EEB98"/>
    <w:lvl w:ilvl="0" w:tplc="7F58DF1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3F165F8"/>
    <w:multiLevelType w:val="hybridMultilevel"/>
    <w:tmpl w:val="485099D0"/>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20" w15:restartNumberingAfterBreak="0">
    <w:nsid w:val="38043D58"/>
    <w:multiLevelType w:val="hybridMultilevel"/>
    <w:tmpl w:val="67E88ED8"/>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CE1E79"/>
    <w:multiLevelType w:val="hybridMultilevel"/>
    <w:tmpl w:val="5C28E03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AD0D85"/>
    <w:multiLevelType w:val="multilevel"/>
    <w:tmpl w:val="0B1C70A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DF5D7F"/>
    <w:multiLevelType w:val="hybridMultilevel"/>
    <w:tmpl w:val="4328C27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0FE120E"/>
    <w:multiLevelType w:val="hybridMultilevel"/>
    <w:tmpl w:val="999A157A"/>
    <w:lvl w:ilvl="0" w:tplc="041F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14A6F25"/>
    <w:multiLevelType w:val="hybridMultilevel"/>
    <w:tmpl w:val="62A48D62"/>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21610C7"/>
    <w:multiLevelType w:val="hybridMultilevel"/>
    <w:tmpl w:val="C9545292"/>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43E858FD"/>
    <w:multiLevelType w:val="hybridMultilevel"/>
    <w:tmpl w:val="385A6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97732"/>
    <w:multiLevelType w:val="hybridMultilevel"/>
    <w:tmpl w:val="19869C5C"/>
    <w:lvl w:ilvl="0" w:tplc="041F0001">
      <w:start w:val="1"/>
      <w:numFmt w:val="bullet"/>
      <w:lvlText w:val=""/>
      <w:lvlJc w:val="left"/>
      <w:pPr>
        <w:tabs>
          <w:tab w:val="num" w:pos="1046"/>
        </w:tabs>
        <w:ind w:left="1046" w:hanging="360"/>
      </w:pPr>
      <w:rPr>
        <w:rFonts w:ascii="Symbol" w:hAnsi="Symbol" w:hint="default"/>
      </w:rPr>
    </w:lvl>
    <w:lvl w:ilvl="1" w:tplc="041F0003" w:tentative="1">
      <w:start w:val="1"/>
      <w:numFmt w:val="bullet"/>
      <w:lvlText w:val="o"/>
      <w:lvlJc w:val="left"/>
      <w:pPr>
        <w:tabs>
          <w:tab w:val="num" w:pos="1766"/>
        </w:tabs>
        <w:ind w:left="1766" w:hanging="360"/>
      </w:pPr>
      <w:rPr>
        <w:rFonts w:ascii="Courier New" w:hAnsi="Courier New" w:cs="Courier New" w:hint="default"/>
      </w:rPr>
    </w:lvl>
    <w:lvl w:ilvl="2" w:tplc="041F0005" w:tentative="1">
      <w:start w:val="1"/>
      <w:numFmt w:val="bullet"/>
      <w:lvlText w:val=""/>
      <w:lvlJc w:val="left"/>
      <w:pPr>
        <w:tabs>
          <w:tab w:val="num" w:pos="2486"/>
        </w:tabs>
        <w:ind w:left="2486" w:hanging="360"/>
      </w:pPr>
      <w:rPr>
        <w:rFonts w:ascii="Wingdings" w:hAnsi="Wingdings" w:hint="default"/>
      </w:rPr>
    </w:lvl>
    <w:lvl w:ilvl="3" w:tplc="041F0001" w:tentative="1">
      <w:start w:val="1"/>
      <w:numFmt w:val="bullet"/>
      <w:lvlText w:val=""/>
      <w:lvlJc w:val="left"/>
      <w:pPr>
        <w:tabs>
          <w:tab w:val="num" w:pos="3206"/>
        </w:tabs>
        <w:ind w:left="3206" w:hanging="360"/>
      </w:pPr>
      <w:rPr>
        <w:rFonts w:ascii="Symbol" w:hAnsi="Symbol" w:hint="default"/>
      </w:rPr>
    </w:lvl>
    <w:lvl w:ilvl="4" w:tplc="041F0003" w:tentative="1">
      <w:start w:val="1"/>
      <w:numFmt w:val="bullet"/>
      <w:lvlText w:val="o"/>
      <w:lvlJc w:val="left"/>
      <w:pPr>
        <w:tabs>
          <w:tab w:val="num" w:pos="3926"/>
        </w:tabs>
        <w:ind w:left="3926" w:hanging="360"/>
      </w:pPr>
      <w:rPr>
        <w:rFonts w:ascii="Courier New" w:hAnsi="Courier New" w:cs="Courier New" w:hint="default"/>
      </w:rPr>
    </w:lvl>
    <w:lvl w:ilvl="5" w:tplc="041F0005" w:tentative="1">
      <w:start w:val="1"/>
      <w:numFmt w:val="bullet"/>
      <w:lvlText w:val=""/>
      <w:lvlJc w:val="left"/>
      <w:pPr>
        <w:tabs>
          <w:tab w:val="num" w:pos="4646"/>
        </w:tabs>
        <w:ind w:left="4646" w:hanging="360"/>
      </w:pPr>
      <w:rPr>
        <w:rFonts w:ascii="Wingdings" w:hAnsi="Wingdings" w:hint="default"/>
      </w:rPr>
    </w:lvl>
    <w:lvl w:ilvl="6" w:tplc="041F0001" w:tentative="1">
      <w:start w:val="1"/>
      <w:numFmt w:val="bullet"/>
      <w:lvlText w:val=""/>
      <w:lvlJc w:val="left"/>
      <w:pPr>
        <w:tabs>
          <w:tab w:val="num" w:pos="5366"/>
        </w:tabs>
        <w:ind w:left="5366" w:hanging="360"/>
      </w:pPr>
      <w:rPr>
        <w:rFonts w:ascii="Symbol" w:hAnsi="Symbol" w:hint="default"/>
      </w:rPr>
    </w:lvl>
    <w:lvl w:ilvl="7" w:tplc="041F0003" w:tentative="1">
      <w:start w:val="1"/>
      <w:numFmt w:val="bullet"/>
      <w:lvlText w:val="o"/>
      <w:lvlJc w:val="left"/>
      <w:pPr>
        <w:tabs>
          <w:tab w:val="num" w:pos="6086"/>
        </w:tabs>
        <w:ind w:left="6086" w:hanging="360"/>
      </w:pPr>
      <w:rPr>
        <w:rFonts w:ascii="Courier New" w:hAnsi="Courier New" w:cs="Courier New" w:hint="default"/>
      </w:rPr>
    </w:lvl>
    <w:lvl w:ilvl="8" w:tplc="041F0005" w:tentative="1">
      <w:start w:val="1"/>
      <w:numFmt w:val="bullet"/>
      <w:lvlText w:val=""/>
      <w:lvlJc w:val="left"/>
      <w:pPr>
        <w:tabs>
          <w:tab w:val="num" w:pos="6806"/>
        </w:tabs>
        <w:ind w:left="6806" w:hanging="360"/>
      </w:pPr>
      <w:rPr>
        <w:rFonts w:ascii="Wingdings" w:hAnsi="Wingdings" w:hint="default"/>
      </w:rPr>
    </w:lvl>
  </w:abstractNum>
  <w:abstractNum w:abstractNumId="29" w15:restartNumberingAfterBreak="0">
    <w:nsid w:val="4FBB768C"/>
    <w:multiLevelType w:val="hybridMultilevel"/>
    <w:tmpl w:val="6450B3B6"/>
    <w:lvl w:ilvl="0" w:tplc="041F0001">
      <w:start w:val="1"/>
      <w:numFmt w:val="bullet"/>
      <w:lvlText w:val=""/>
      <w:lvlJc w:val="left"/>
      <w:pPr>
        <w:tabs>
          <w:tab w:val="num" w:pos="1004"/>
        </w:tabs>
        <w:ind w:left="1004"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807E28"/>
    <w:multiLevelType w:val="hybridMultilevel"/>
    <w:tmpl w:val="0E5ADD0E"/>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5BE63F66"/>
    <w:multiLevelType w:val="hybridMultilevel"/>
    <w:tmpl w:val="DA0816F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5F2150C3"/>
    <w:multiLevelType w:val="hybridMultilevel"/>
    <w:tmpl w:val="2D62735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5C5EED"/>
    <w:multiLevelType w:val="hybridMultilevel"/>
    <w:tmpl w:val="E08AB560"/>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9135D13"/>
    <w:multiLevelType w:val="hybridMultilevel"/>
    <w:tmpl w:val="FB2A0C4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CCB6CF0"/>
    <w:multiLevelType w:val="hybridMultilevel"/>
    <w:tmpl w:val="F23C6C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2D0D11"/>
    <w:multiLevelType w:val="hybridMultilevel"/>
    <w:tmpl w:val="E65C13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2C7863"/>
    <w:multiLevelType w:val="hybridMultilevel"/>
    <w:tmpl w:val="8B70E38A"/>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7AD478F4"/>
    <w:multiLevelType w:val="hybridMultilevel"/>
    <w:tmpl w:val="D228F514"/>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5"/>
  </w:num>
  <w:num w:numId="2">
    <w:abstractNumId w:val="27"/>
  </w:num>
  <w:num w:numId="3">
    <w:abstractNumId w:val="35"/>
  </w:num>
  <w:num w:numId="4">
    <w:abstractNumId w:val="17"/>
  </w:num>
  <w:num w:numId="5">
    <w:abstractNumId w:val="8"/>
  </w:num>
  <w:num w:numId="6">
    <w:abstractNumId w:val="34"/>
  </w:num>
  <w:num w:numId="7">
    <w:abstractNumId w:val="24"/>
  </w:num>
  <w:num w:numId="8">
    <w:abstractNumId w:val="3"/>
  </w:num>
  <w:num w:numId="9">
    <w:abstractNumId w:val="32"/>
  </w:num>
  <w:num w:numId="10">
    <w:abstractNumId w:val="14"/>
  </w:num>
  <w:num w:numId="11">
    <w:abstractNumId w:val="0"/>
  </w:num>
  <w:num w:numId="12">
    <w:abstractNumId w:val="11"/>
  </w:num>
  <w:num w:numId="13">
    <w:abstractNumId w:val="5"/>
  </w:num>
  <w:num w:numId="14">
    <w:abstractNumId w:val="25"/>
  </w:num>
  <w:num w:numId="15">
    <w:abstractNumId w:val="31"/>
  </w:num>
  <w:num w:numId="16">
    <w:abstractNumId w:val="19"/>
  </w:num>
  <w:num w:numId="17">
    <w:abstractNumId w:val="16"/>
  </w:num>
  <w:num w:numId="18">
    <w:abstractNumId w:val="26"/>
  </w:num>
  <w:num w:numId="19">
    <w:abstractNumId w:val="23"/>
  </w:num>
  <w:num w:numId="20">
    <w:abstractNumId w:val="38"/>
  </w:num>
  <w:num w:numId="21">
    <w:abstractNumId w:val="37"/>
  </w:num>
  <w:num w:numId="22">
    <w:abstractNumId w:val="21"/>
  </w:num>
  <w:num w:numId="23">
    <w:abstractNumId w:val="30"/>
  </w:num>
  <w:num w:numId="24">
    <w:abstractNumId w:val="28"/>
  </w:num>
  <w:num w:numId="25">
    <w:abstractNumId w:val="33"/>
  </w:num>
  <w:num w:numId="26">
    <w:abstractNumId w:val="1"/>
  </w:num>
  <w:num w:numId="27">
    <w:abstractNumId w:val="36"/>
  </w:num>
  <w:num w:numId="28">
    <w:abstractNumId w:val="9"/>
  </w:num>
  <w:num w:numId="29">
    <w:abstractNumId w:val="29"/>
  </w:num>
  <w:num w:numId="30">
    <w:abstractNumId w:val="7"/>
  </w:num>
  <w:num w:numId="31">
    <w:abstractNumId w:val="10"/>
  </w:num>
  <w:num w:numId="32">
    <w:abstractNumId w:val="12"/>
  </w:num>
  <w:num w:numId="33">
    <w:abstractNumId w:val="13"/>
  </w:num>
  <w:num w:numId="34">
    <w:abstractNumId w:val="18"/>
  </w:num>
  <w:num w:numId="35">
    <w:abstractNumId w:val="6"/>
  </w:num>
  <w:num w:numId="36">
    <w:abstractNumId w:val="2"/>
  </w:num>
  <w:num w:numId="37">
    <w:abstractNumId w:val="4"/>
  </w:num>
  <w:num w:numId="38">
    <w:abstractNumId w:val="22"/>
  </w:num>
  <w:num w:numId="3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89"/>
    <w:rsid w:val="000025BB"/>
    <w:rsid w:val="00010ABD"/>
    <w:rsid w:val="00010B70"/>
    <w:rsid w:val="00012FC6"/>
    <w:rsid w:val="000147CF"/>
    <w:rsid w:val="00024426"/>
    <w:rsid w:val="000275AB"/>
    <w:rsid w:val="000330A2"/>
    <w:rsid w:val="0004091B"/>
    <w:rsid w:val="00040B68"/>
    <w:rsid w:val="00043CB6"/>
    <w:rsid w:val="0004736E"/>
    <w:rsid w:val="000538F0"/>
    <w:rsid w:val="0005455A"/>
    <w:rsid w:val="000710B0"/>
    <w:rsid w:val="00071F10"/>
    <w:rsid w:val="00075A1E"/>
    <w:rsid w:val="000770FD"/>
    <w:rsid w:val="000771C0"/>
    <w:rsid w:val="000800EB"/>
    <w:rsid w:val="000867AF"/>
    <w:rsid w:val="000A5E55"/>
    <w:rsid w:val="000B776A"/>
    <w:rsid w:val="000C03F0"/>
    <w:rsid w:val="000C0B07"/>
    <w:rsid w:val="000C44B5"/>
    <w:rsid w:val="000D2458"/>
    <w:rsid w:val="000D28F0"/>
    <w:rsid w:val="000D4F9D"/>
    <w:rsid w:val="000E0E5F"/>
    <w:rsid w:val="000F0B8D"/>
    <w:rsid w:val="0010605A"/>
    <w:rsid w:val="0010788A"/>
    <w:rsid w:val="00120DAC"/>
    <w:rsid w:val="00121F65"/>
    <w:rsid w:val="001303CE"/>
    <w:rsid w:val="001336AB"/>
    <w:rsid w:val="00136534"/>
    <w:rsid w:val="001377CF"/>
    <w:rsid w:val="001527BE"/>
    <w:rsid w:val="00156584"/>
    <w:rsid w:val="00156988"/>
    <w:rsid w:val="00156DCE"/>
    <w:rsid w:val="00176B85"/>
    <w:rsid w:val="001802C6"/>
    <w:rsid w:val="00183575"/>
    <w:rsid w:val="00187262"/>
    <w:rsid w:val="00187AEE"/>
    <w:rsid w:val="0019355E"/>
    <w:rsid w:val="0019525E"/>
    <w:rsid w:val="001B1DA3"/>
    <w:rsid w:val="001C12A0"/>
    <w:rsid w:val="001C181D"/>
    <w:rsid w:val="001C6087"/>
    <w:rsid w:val="001D7712"/>
    <w:rsid w:val="001E0D6D"/>
    <w:rsid w:val="001E4D73"/>
    <w:rsid w:val="001E504D"/>
    <w:rsid w:val="001E52C2"/>
    <w:rsid w:val="001E65CC"/>
    <w:rsid w:val="001E7D75"/>
    <w:rsid w:val="001F196B"/>
    <w:rsid w:val="001F242D"/>
    <w:rsid w:val="001F53FC"/>
    <w:rsid w:val="002023FF"/>
    <w:rsid w:val="00207389"/>
    <w:rsid w:val="0021434B"/>
    <w:rsid w:val="0021656C"/>
    <w:rsid w:val="0023477B"/>
    <w:rsid w:val="002422CF"/>
    <w:rsid w:val="00243B4F"/>
    <w:rsid w:val="0024692C"/>
    <w:rsid w:val="00250DE8"/>
    <w:rsid w:val="0025205E"/>
    <w:rsid w:val="002535B2"/>
    <w:rsid w:val="00257A16"/>
    <w:rsid w:val="00261E92"/>
    <w:rsid w:val="00265EBA"/>
    <w:rsid w:val="00266F56"/>
    <w:rsid w:val="00267B41"/>
    <w:rsid w:val="002821B1"/>
    <w:rsid w:val="0028555B"/>
    <w:rsid w:val="00293021"/>
    <w:rsid w:val="00296F12"/>
    <w:rsid w:val="002A07BB"/>
    <w:rsid w:val="002A31DE"/>
    <w:rsid w:val="002A3ACC"/>
    <w:rsid w:val="002B6E68"/>
    <w:rsid w:val="002C0479"/>
    <w:rsid w:val="002C07A3"/>
    <w:rsid w:val="002C3E72"/>
    <w:rsid w:val="002C6272"/>
    <w:rsid w:val="002D112F"/>
    <w:rsid w:val="002D6DD9"/>
    <w:rsid w:val="002E15C0"/>
    <w:rsid w:val="003077F7"/>
    <w:rsid w:val="00310FCB"/>
    <w:rsid w:val="0032549D"/>
    <w:rsid w:val="003260C6"/>
    <w:rsid w:val="00326A1E"/>
    <w:rsid w:val="00326C37"/>
    <w:rsid w:val="00332478"/>
    <w:rsid w:val="00343D31"/>
    <w:rsid w:val="003459B1"/>
    <w:rsid w:val="00350100"/>
    <w:rsid w:val="00350FE3"/>
    <w:rsid w:val="00351ED1"/>
    <w:rsid w:val="00353D37"/>
    <w:rsid w:val="00356C8B"/>
    <w:rsid w:val="00360B99"/>
    <w:rsid w:val="00363AF9"/>
    <w:rsid w:val="00365D8A"/>
    <w:rsid w:val="0036636C"/>
    <w:rsid w:val="00370807"/>
    <w:rsid w:val="00375A93"/>
    <w:rsid w:val="00375ABC"/>
    <w:rsid w:val="003771E9"/>
    <w:rsid w:val="00377AC3"/>
    <w:rsid w:val="00377B85"/>
    <w:rsid w:val="003808AA"/>
    <w:rsid w:val="00391C92"/>
    <w:rsid w:val="00392510"/>
    <w:rsid w:val="00395486"/>
    <w:rsid w:val="003A3845"/>
    <w:rsid w:val="003B2BE2"/>
    <w:rsid w:val="003C441B"/>
    <w:rsid w:val="003D3333"/>
    <w:rsid w:val="003D6BEA"/>
    <w:rsid w:val="003E0480"/>
    <w:rsid w:val="003E0EE6"/>
    <w:rsid w:val="003E2EFB"/>
    <w:rsid w:val="003E3B23"/>
    <w:rsid w:val="003F0506"/>
    <w:rsid w:val="003F0F40"/>
    <w:rsid w:val="003F1B0C"/>
    <w:rsid w:val="003F4CD5"/>
    <w:rsid w:val="003F5082"/>
    <w:rsid w:val="00401B2B"/>
    <w:rsid w:val="00403691"/>
    <w:rsid w:val="00404232"/>
    <w:rsid w:val="00404274"/>
    <w:rsid w:val="00413CEB"/>
    <w:rsid w:val="004157C6"/>
    <w:rsid w:val="00420596"/>
    <w:rsid w:val="00423561"/>
    <w:rsid w:val="00454D79"/>
    <w:rsid w:val="004556A4"/>
    <w:rsid w:val="00461F7C"/>
    <w:rsid w:val="004633DA"/>
    <w:rsid w:val="00475DB8"/>
    <w:rsid w:val="004773B2"/>
    <w:rsid w:val="00480B80"/>
    <w:rsid w:val="0048287D"/>
    <w:rsid w:val="004A2B58"/>
    <w:rsid w:val="004A5A31"/>
    <w:rsid w:val="004B5BD2"/>
    <w:rsid w:val="004C07B4"/>
    <w:rsid w:val="004C2ECB"/>
    <w:rsid w:val="004C4F87"/>
    <w:rsid w:val="004C7813"/>
    <w:rsid w:val="004C7D14"/>
    <w:rsid w:val="004D3DCC"/>
    <w:rsid w:val="004E01D8"/>
    <w:rsid w:val="004E23CB"/>
    <w:rsid w:val="004E274C"/>
    <w:rsid w:val="004E2D87"/>
    <w:rsid w:val="004E2F71"/>
    <w:rsid w:val="004E6E44"/>
    <w:rsid w:val="004F0CFD"/>
    <w:rsid w:val="004F0D61"/>
    <w:rsid w:val="004F4750"/>
    <w:rsid w:val="00501208"/>
    <w:rsid w:val="00510CC6"/>
    <w:rsid w:val="00510EE6"/>
    <w:rsid w:val="0052593B"/>
    <w:rsid w:val="00525C8B"/>
    <w:rsid w:val="0053197C"/>
    <w:rsid w:val="00532AF3"/>
    <w:rsid w:val="00535E78"/>
    <w:rsid w:val="00540DB8"/>
    <w:rsid w:val="005414D2"/>
    <w:rsid w:val="00541D98"/>
    <w:rsid w:val="00544E24"/>
    <w:rsid w:val="0055260A"/>
    <w:rsid w:val="00552979"/>
    <w:rsid w:val="005618C3"/>
    <w:rsid w:val="005646B4"/>
    <w:rsid w:val="005676EF"/>
    <w:rsid w:val="00576828"/>
    <w:rsid w:val="00577BCA"/>
    <w:rsid w:val="005904E0"/>
    <w:rsid w:val="00593A91"/>
    <w:rsid w:val="00593F69"/>
    <w:rsid w:val="00596F24"/>
    <w:rsid w:val="005A0BF7"/>
    <w:rsid w:val="005A12AE"/>
    <w:rsid w:val="005A1CE4"/>
    <w:rsid w:val="005A5944"/>
    <w:rsid w:val="005B3C56"/>
    <w:rsid w:val="005B6377"/>
    <w:rsid w:val="005B7BE8"/>
    <w:rsid w:val="005D05FA"/>
    <w:rsid w:val="005E42DB"/>
    <w:rsid w:val="005E663D"/>
    <w:rsid w:val="005F0CB1"/>
    <w:rsid w:val="005F19C3"/>
    <w:rsid w:val="005F36EC"/>
    <w:rsid w:val="005F7375"/>
    <w:rsid w:val="0060324B"/>
    <w:rsid w:val="00605B77"/>
    <w:rsid w:val="00615A19"/>
    <w:rsid w:val="006220E8"/>
    <w:rsid w:val="00627BCC"/>
    <w:rsid w:val="006314D4"/>
    <w:rsid w:val="006322C1"/>
    <w:rsid w:val="00637BC2"/>
    <w:rsid w:val="00642A7D"/>
    <w:rsid w:val="00644555"/>
    <w:rsid w:val="00645E80"/>
    <w:rsid w:val="00647309"/>
    <w:rsid w:val="00647B24"/>
    <w:rsid w:val="00651BF0"/>
    <w:rsid w:val="00654B72"/>
    <w:rsid w:val="00654C03"/>
    <w:rsid w:val="00664F18"/>
    <w:rsid w:val="006654A7"/>
    <w:rsid w:val="006713B6"/>
    <w:rsid w:val="00674034"/>
    <w:rsid w:val="00677A55"/>
    <w:rsid w:val="00680656"/>
    <w:rsid w:val="00680A7A"/>
    <w:rsid w:val="00684002"/>
    <w:rsid w:val="00686A3B"/>
    <w:rsid w:val="00690613"/>
    <w:rsid w:val="006B02FC"/>
    <w:rsid w:val="006B2AA6"/>
    <w:rsid w:val="006B3410"/>
    <w:rsid w:val="006C06B7"/>
    <w:rsid w:val="006C16F4"/>
    <w:rsid w:val="006C47F7"/>
    <w:rsid w:val="006C6210"/>
    <w:rsid w:val="006C6837"/>
    <w:rsid w:val="006C6DE1"/>
    <w:rsid w:val="006D6712"/>
    <w:rsid w:val="006E3AFD"/>
    <w:rsid w:val="006E41F4"/>
    <w:rsid w:val="006E7780"/>
    <w:rsid w:val="006F4305"/>
    <w:rsid w:val="006F6AFF"/>
    <w:rsid w:val="006F7025"/>
    <w:rsid w:val="00701A33"/>
    <w:rsid w:val="0070437F"/>
    <w:rsid w:val="007064E7"/>
    <w:rsid w:val="00712478"/>
    <w:rsid w:val="00713CE0"/>
    <w:rsid w:val="00721798"/>
    <w:rsid w:val="00724785"/>
    <w:rsid w:val="00734548"/>
    <w:rsid w:val="0073658D"/>
    <w:rsid w:val="00742089"/>
    <w:rsid w:val="00752661"/>
    <w:rsid w:val="00765581"/>
    <w:rsid w:val="00774831"/>
    <w:rsid w:val="00774DAB"/>
    <w:rsid w:val="0078203B"/>
    <w:rsid w:val="00782A9A"/>
    <w:rsid w:val="00784B22"/>
    <w:rsid w:val="00790204"/>
    <w:rsid w:val="007918DB"/>
    <w:rsid w:val="00792791"/>
    <w:rsid w:val="0079575F"/>
    <w:rsid w:val="007A2711"/>
    <w:rsid w:val="007B5F58"/>
    <w:rsid w:val="007C1604"/>
    <w:rsid w:val="007C2185"/>
    <w:rsid w:val="007C2DB8"/>
    <w:rsid w:val="007C349F"/>
    <w:rsid w:val="007C4276"/>
    <w:rsid w:val="007C5271"/>
    <w:rsid w:val="007D032B"/>
    <w:rsid w:val="007D18F2"/>
    <w:rsid w:val="007D5EEE"/>
    <w:rsid w:val="007D63CE"/>
    <w:rsid w:val="007F05CC"/>
    <w:rsid w:val="00804755"/>
    <w:rsid w:val="00817034"/>
    <w:rsid w:val="008230B1"/>
    <w:rsid w:val="008254C9"/>
    <w:rsid w:val="00825727"/>
    <w:rsid w:val="0082735B"/>
    <w:rsid w:val="00834C36"/>
    <w:rsid w:val="00837E8A"/>
    <w:rsid w:val="00860A7C"/>
    <w:rsid w:val="00870B52"/>
    <w:rsid w:val="00876640"/>
    <w:rsid w:val="00876823"/>
    <w:rsid w:val="00880E30"/>
    <w:rsid w:val="0088415C"/>
    <w:rsid w:val="00894222"/>
    <w:rsid w:val="008A5446"/>
    <w:rsid w:val="008B09AE"/>
    <w:rsid w:val="008B0CDD"/>
    <w:rsid w:val="008B1AD0"/>
    <w:rsid w:val="008B23ED"/>
    <w:rsid w:val="008C4931"/>
    <w:rsid w:val="008C56CA"/>
    <w:rsid w:val="008F6575"/>
    <w:rsid w:val="0090408A"/>
    <w:rsid w:val="0090604F"/>
    <w:rsid w:val="00906ED3"/>
    <w:rsid w:val="00912182"/>
    <w:rsid w:val="00920179"/>
    <w:rsid w:val="009205B2"/>
    <w:rsid w:val="00920626"/>
    <w:rsid w:val="00922680"/>
    <w:rsid w:val="00923066"/>
    <w:rsid w:val="00931DB7"/>
    <w:rsid w:val="00933252"/>
    <w:rsid w:val="009332F8"/>
    <w:rsid w:val="00933A86"/>
    <w:rsid w:val="00937DB6"/>
    <w:rsid w:val="00940180"/>
    <w:rsid w:val="00940422"/>
    <w:rsid w:val="00945566"/>
    <w:rsid w:val="00945609"/>
    <w:rsid w:val="00953185"/>
    <w:rsid w:val="00953ACE"/>
    <w:rsid w:val="00955702"/>
    <w:rsid w:val="00957188"/>
    <w:rsid w:val="009571D1"/>
    <w:rsid w:val="00964FC3"/>
    <w:rsid w:val="009667BB"/>
    <w:rsid w:val="00967852"/>
    <w:rsid w:val="00967B56"/>
    <w:rsid w:val="00970583"/>
    <w:rsid w:val="00971285"/>
    <w:rsid w:val="009730A9"/>
    <w:rsid w:val="00980B65"/>
    <w:rsid w:val="00982788"/>
    <w:rsid w:val="00991BC7"/>
    <w:rsid w:val="009922E3"/>
    <w:rsid w:val="009930CE"/>
    <w:rsid w:val="009961CE"/>
    <w:rsid w:val="009A31EB"/>
    <w:rsid w:val="009A70EC"/>
    <w:rsid w:val="009B4A1B"/>
    <w:rsid w:val="009C1E40"/>
    <w:rsid w:val="009C404A"/>
    <w:rsid w:val="009D432F"/>
    <w:rsid w:val="009D6C45"/>
    <w:rsid w:val="009E11D4"/>
    <w:rsid w:val="009E3D1D"/>
    <w:rsid w:val="009E5DDC"/>
    <w:rsid w:val="00A042B5"/>
    <w:rsid w:val="00A11472"/>
    <w:rsid w:val="00A13D65"/>
    <w:rsid w:val="00A2528C"/>
    <w:rsid w:val="00A31176"/>
    <w:rsid w:val="00A40C7A"/>
    <w:rsid w:val="00A43E83"/>
    <w:rsid w:val="00A46EE1"/>
    <w:rsid w:val="00A47AEE"/>
    <w:rsid w:val="00A57566"/>
    <w:rsid w:val="00A60155"/>
    <w:rsid w:val="00A60A3E"/>
    <w:rsid w:val="00A62A6C"/>
    <w:rsid w:val="00A712E1"/>
    <w:rsid w:val="00A777BF"/>
    <w:rsid w:val="00A77F84"/>
    <w:rsid w:val="00A85A72"/>
    <w:rsid w:val="00A91031"/>
    <w:rsid w:val="00AB50E5"/>
    <w:rsid w:val="00AB741A"/>
    <w:rsid w:val="00AC7293"/>
    <w:rsid w:val="00AD2F42"/>
    <w:rsid w:val="00AD71CD"/>
    <w:rsid w:val="00AE1B1E"/>
    <w:rsid w:val="00AE1E7B"/>
    <w:rsid w:val="00AE1F84"/>
    <w:rsid w:val="00AE3605"/>
    <w:rsid w:val="00AF331C"/>
    <w:rsid w:val="00AF5437"/>
    <w:rsid w:val="00B040FA"/>
    <w:rsid w:val="00B06065"/>
    <w:rsid w:val="00B100E6"/>
    <w:rsid w:val="00B1256F"/>
    <w:rsid w:val="00B15924"/>
    <w:rsid w:val="00B207F9"/>
    <w:rsid w:val="00B23231"/>
    <w:rsid w:val="00B250D3"/>
    <w:rsid w:val="00B253DC"/>
    <w:rsid w:val="00B271FD"/>
    <w:rsid w:val="00B34E8D"/>
    <w:rsid w:val="00B35726"/>
    <w:rsid w:val="00B42ACF"/>
    <w:rsid w:val="00B43406"/>
    <w:rsid w:val="00B534A9"/>
    <w:rsid w:val="00B56608"/>
    <w:rsid w:val="00B620A6"/>
    <w:rsid w:val="00B66CDA"/>
    <w:rsid w:val="00B67AE1"/>
    <w:rsid w:val="00B75EC0"/>
    <w:rsid w:val="00B77AB3"/>
    <w:rsid w:val="00B81950"/>
    <w:rsid w:val="00B864C2"/>
    <w:rsid w:val="00B91B31"/>
    <w:rsid w:val="00B9560E"/>
    <w:rsid w:val="00B97370"/>
    <w:rsid w:val="00BA25D5"/>
    <w:rsid w:val="00BB227E"/>
    <w:rsid w:val="00BC0749"/>
    <w:rsid w:val="00BC42AA"/>
    <w:rsid w:val="00BC5187"/>
    <w:rsid w:val="00BC6C79"/>
    <w:rsid w:val="00BD1167"/>
    <w:rsid w:val="00BD3DD3"/>
    <w:rsid w:val="00BD7F9A"/>
    <w:rsid w:val="00BE135C"/>
    <w:rsid w:val="00BE42F5"/>
    <w:rsid w:val="00BE6B2B"/>
    <w:rsid w:val="00BF01C3"/>
    <w:rsid w:val="00BF117F"/>
    <w:rsid w:val="00BF2144"/>
    <w:rsid w:val="00C114D5"/>
    <w:rsid w:val="00C136EE"/>
    <w:rsid w:val="00C14AF5"/>
    <w:rsid w:val="00C20570"/>
    <w:rsid w:val="00C21DEE"/>
    <w:rsid w:val="00C26AE2"/>
    <w:rsid w:val="00C3718C"/>
    <w:rsid w:val="00C41E63"/>
    <w:rsid w:val="00C43D81"/>
    <w:rsid w:val="00C43DFD"/>
    <w:rsid w:val="00C4420F"/>
    <w:rsid w:val="00C449FB"/>
    <w:rsid w:val="00C46839"/>
    <w:rsid w:val="00C4743B"/>
    <w:rsid w:val="00C5078D"/>
    <w:rsid w:val="00C51829"/>
    <w:rsid w:val="00C56903"/>
    <w:rsid w:val="00C6277D"/>
    <w:rsid w:val="00C67763"/>
    <w:rsid w:val="00C73EA5"/>
    <w:rsid w:val="00C74109"/>
    <w:rsid w:val="00C8161C"/>
    <w:rsid w:val="00C84C3B"/>
    <w:rsid w:val="00C84E04"/>
    <w:rsid w:val="00C92D8F"/>
    <w:rsid w:val="00C975EE"/>
    <w:rsid w:val="00CA279A"/>
    <w:rsid w:val="00CB3240"/>
    <w:rsid w:val="00CB3549"/>
    <w:rsid w:val="00CB494F"/>
    <w:rsid w:val="00CB4EC0"/>
    <w:rsid w:val="00CB7AAE"/>
    <w:rsid w:val="00CC5943"/>
    <w:rsid w:val="00CE2F0E"/>
    <w:rsid w:val="00CF2055"/>
    <w:rsid w:val="00D070D2"/>
    <w:rsid w:val="00D07B53"/>
    <w:rsid w:val="00D12C82"/>
    <w:rsid w:val="00D17D44"/>
    <w:rsid w:val="00D202C1"/>
    <w:rsid w:val="00D3360B"/>
    <w:rsid w:val="00D33977"/>
    <w:rsid w:val="00D419A3"/>
    <w:rsid w:val="00D43729"/>
    <w:rsid w:val="00D4494B"/>
    <w:rsid w:val="00D456C6"/>
    <w:rsid w:val="00D502CE"/>
    <w:rsid w:val="00D55843"/>
    <w:rsid w:val="00D56E12"/>
    <w:rsid w:val="00D84868"/>
    <w:rsid w:val="00D915AE"/>
    <w:rsid w:val="00D92E16"/>
    <w:rsid w:val="00D953AB"/>
    <w:rsid w:val="00D9632E"/>
    <w:rsid w:val="00DA08C9"/>
    <w:rsid w:val="00DB2E8F"/>
    <w:rsid w:val="00DB7EAB"/>
    <w:rsid w:val="00DC3EEC"/>
    <w:rsid w:val="00DD0EB1"/>
    <w:rsid w:val="00DD0F61"/>
    <w:rsid w:val="00DD46C2"/>
    <w:rsid w:val="00DE4D7A"/>
    <w:rsid w:val="00DE690F"/>
    <w:rsid w:val="00DF20BC"/>
    <w:rsid w:val="00DF46C4"/>
    <w:rsid w:val="00DF67EF"/>
    <w:rsid w:val="00E1145D"/>
    <w:rsid w:val="00E14D95"/>
    <w:rsid w:val="00E17947"/>
    <w:rsid w:val="00E2125D"/>
    <w:rsid w:val="00E23375"/>
    <w:rsid w:val="00E2428E"/>
    <w:rsid w:val="00E26098"/>
    <w:rsid w:val="00E33233"/>
    <w:rsid w:val="00E40730"/>
    <w:rsid w:val="00E47E88"/>
    <w:rsid w:val="00E536A4"/>
    <w:rsid w:val="00E54A74"/>
    <w:rsid w:val="00E703CE"/>
    <w:rsid w:val="00E765EB"/>
    <w:rsid w:val="00E77C08"/>
    <w:rsid w:val="00E82541"/>
    <w:rsid w:val="00E940C1"/>
    <w:rsid w:val="00EA18F8"/>
    <w:rsid w:val="00EA5864"/>
    <w:rsid w:val="00EC326F"/>
    <w:rsid w:val="00EC78E3"/>
    <w:rsid w:val="00EC7E99"/>
    <w:rsid w:val="00ED3A45"/>
    <w:rsid w:val="00ED4AD0"/>
    <w:rsid w:val="00EE0955"/>
    <w:rsid w:val="00EE4D8C"/>
    <w:rsid w:val="00EE7867"/>
    <w:rsid w:val="00EF1222"/>
    <w:rsid w:val="00EF1FA7"/>
    <w:rsid w:val="00EF6FE4"/>
    <w:rsid w:val="00F00399"/>
    <w:rsid w:val="00F05C89"/>
    <w:rsid w:val="00F11682"/>
    <w:rsid w:val="00F120AE"/>
    <w:rsid w:val="00F1279D"/>
    <w:rsid w:val="00F1666A"/>
    <w:rsid w:val="00F16694"/>
    <w:rsid w:val="00F24396"/>
    <w:rsid w:val="00F326B9"/>
    <w:rsid w:val="00F343B1"/>
    <w:rsid w:val="00F35624"/>
    <w:rsid w:val="00F35F19"/>
    <w:rsid w:val="00F500EF"/>
    <w:rsid w:val="00F55C6B"/>
    <w:rsid w:val="00F55C7C"/>
    <w:rsid w:val="00F62D44"/>
    <w:rsid w:val="00F75744"/>
    <w:rsid w:val="00F80FD4"/>
    <w:rsid w:val="00F84EDB"/>
    <w:rsid w:val="00F867A8"/>
    <w:rsid w:val="00F9243B"/>
    <w:rsid w:val="00F95FEE"/>
    <w:rsid w:val="00F96C8C"/>
    <w:rsid w:val="00FA049B"/>
    <w:rsid w:val="00FB5797"/>
    <w:rsid w:val="00FC40F7"/>
    <w:rsid w:val="00FC5ECB"/>
    <w:rsid w:val="00FD1462"/>
    <w:rsid w:val="00FD19E2"/>
    <w:rsid w:val="00FD7B10"/>
    <w:rsid w:val="00FE0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61E087"/>
  <w15:chartTrackingRefBased/>
  <w15:docId w15:val="{46D374FB-22FC-4BF6-AA28-80A1EF66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C6837"/>
    <w:rPr>
      <w:rFonts w:ascii="Arial" w:hAnsi="Arial"/>
    </w:rPr>
  </w:style>
  <w:style w:type="paragraph" w:styleId="Balk1">
    <w:name w:val="heading 1"/>
    <w:basedOn w:val="Normal"/>
    <w:next w:val="Normal"/>
    <w:qFormat/>
    <w:pPr>
      <w:keepNext/>
      <w:numPr>
        <w:numId w:val="1"/>
      </w:numPr>
      <w:spacing w:before="240" w:after="60"/>
      <w:outlineLvl w:val="0"/>
    </w:pPr>
    <w:rPr>
      <w:b/>
      <w:kern w:val="28"/>
      <w:sz w:val="28"/>
    </w:rPr>
  </w:style>
  <w:style w:type="paragraph" w:styleId="Balk2">
    <w:name w:val="heading 2"/>
    <w:basedOn w:val="Normal"/>
    <w:next w:val="Normal"/>
    <w:qFormat/>
    <w:pPr>
      <w:keepNext/>
      <w:numPr>
        <w:ilvl w:val="1"/>
        <w:numId w:val="1"/>
      </w:numPr>
      <w:spacing w:before="240" w:after="60"/>
      <w:outlineLvl w:val="1"/>
    </w:pPr>
    <w:rPr>
      <w:noProof/>
    </w:rPr>
  </w:style>
  <w:style w:type="paragraph" w:styleId="Balk3">
    <w:name w:val="heading 3"/>
    <w:basedOn w:val="Normal"/>
    <w:next w:val="Normal"/>
    <w:qFormat/>
    <w:pPr>
      <w:keepNext/>
      <w:numPr>
        <w:ilvl w:val="2"/>
        <w:numId w:val="1"/>
      </w:numPr>
      <w:spacing w:before="240" w:after="60"/>
      <w:outlineLvl w:val="2"/>
    </w:pPr>
  </w:style>
  <w:style w:type="paragraph" w:styleId="Balk4">
    <w:name w:val="heading 4"/>
    <w:basedOn w:val="Normal"/>
    <w:next w:val="Normal"/>
    <w:qFormat/>
    <w:pPr>
      <w:keepNext/>
      <w:numPr>
        <w:ilvl w:val="3"/>
        <w:numId w:val="1"/>
      </w:numPr>
      <w:spacing w:before="240" w:after="60"/>
      <w:outlineLvl w:val="3"/>
    </w:pPr>
    <w:rPr>
      <w:b/>
      <w:sz w:val="24"/>
    </w:rPr>
  </w:style>
  <w:style w:type="paragraph" w:styleId="Balk5">
    <w:name w:val="heading 5"/>
    <w:basedOn w:val="Normal"/>
    <w:next w:val="Normal"/>
    <w:qFormat/>
    <w:pPr>
      <w:numPr>
        <w:ilvl w:val="4"/>
        <w:numId w:val="1"/>
      </w:numPr>
      <w:spacing w:before="240" w:after="60"/>
      <w:outlineLvl w:val="4"/>
    </w:pPr>
    <w:rPr>
      <w:sz w:val="22"/>
    </w:rPr>
  </w:style>
  <w:style w:type="paragraph" w:styleId="Balk6">
    <w:name w:val="heading 6"/>
    <w:basedOn w:val="Normal"/>
    <w:next w:val="Normal"/>
    <w:qFormat/>
    <w:pPr>
      <w:numPr>
        <w:ilvl w:val="5"/>
        <w:numId w:val="1"/>
      </w:numPr>
      <w:spacing w:before="240" w:after="60"/>
      <w:outlineLvl w:val="5"/>
    </w:pPr>
    <w:rPr>
      <w:i/>
      <w:sz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rPr>
  </w:style>
  <w:style w:type="paragraph" w:styleId="Balk9">
    <w:name w:val="heading 9"/>
    <w:basedOn w:val="Normal"/>
    <w:next w:val="Normal"/>
    <w:qFormat/>
    <w:pPr>
      <w:numPr>
        <w:ilvl w:val="8"/>
        <w:numId w:val="1"/>
      </w:numPr>
      <w:spacing w:before="240" w:after="60"/>
      <w:outlineLvl w:val="8"/>
    </w:pPr>
    <w:rPr>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 Bilgi1"/>
    <w:basedOn w:val="Normal"/>
    <w:link w:val="stBilgiChar"/>
    <w:uiPriority w:val="99"/>
    <w:pPr>
      <w:tabs>
        <w:tab w:val="center" w:pos="4536"/>
        <w:tab w:val="right" w:pos="9072"/>
      </w:tabs>
    </w:pPr>
  </w:style>
  <w:style w:type="paragraph" w:customStyle="1" w:styleId="AltBilgi1">
    <w:name w:val="Alt Bilgi1"/>
    <w:basedOn w:val="Normal"/>
    <w:link w:val="AltBilgiChar"/>
    <w:uiPriority w:val="99"/>
    <w:pPr>
      <w:tabs>
        <w:tab w:val="center" w:pos="4536"/>
        <w:tab w:val="right" w:pos="9072"/>
      </w:tabs>
    </w:pPr>
  </w:style>
  <w:style w:type="paragraph" w:styleId="GvdeMetniGirintisi">
    <w:name w:val="Body Text Indent"/>
    <w:basedOn w:val="Normal"/>
    <w:pPr>
      <w:ind w:firstLine="567"/>
    </w:pPr>
    <w:rPr>
      <w:snapToGrid w:val="0"/>
      <w:color w:val="000000"/>
      <w:sz w:val="22"/>
    </w:rPr>
  </w:style>
  <w:style w:type="paragraph" w:styleId="GvdeMetniGirintisi2">
    <w:name w:val="Body Text Indent 2"/>
    <w:basedOn w:val="Normal"/>
    <w:pPr>
      <w:ind w:firstLine="567"/>
    </w:pPr>
    <w:rPr>
      <w:snapToGrid w:val="0"/>
    </w:rPr>
  </w:style>
  <w:style w:type="paragraph" w:styleId="GvdeMetniGirintisi3">
    <w:name w:val="Body Text Indent 3"/>
    <w:basedOn w:val="Normal"/>
    <w:pPr>
      <w:ind w:firstLine="567"/>
      <w:jc w:val="both"/>
    </w:pPr>
  </w:style>
  <w:style w:type="character" w:styleId="Kpr">
    <w:name w:val="Hyperlink"/>
    <w:rPr>
      <w:color w:val="0000FF"/>
      <w:u w:val="single"/>
    </w:rPr>
  </w:style>
  <w:style w:type="character" w:styleId="zlenenKpr">
    <w:name w:val="FollowedHyperlink"/>
    <w:rPr>
      <w:color w:val="800080"/>
      <w:u w:val="single"/>
    </w:rPr>
  </w:style>
  <w:style w:type="paragraph" w:styleId="GvdeMetni">
    <w:name w:val="Body Text"/>
    <w:basedOn w:val="Normal"/>
    <w:pPr>
      <w:jc w:val="center"/>
    </w:pPr>
    <w:rPr>
      <w:rFonts w:cs="Arial"/>
      <w:sz w:val="16"/>
      <w:szCs w:val="24"/>
    </w:rPr>
  </w:style>
  <w:style w:type="character" w:styleId="SayfaNumaras">
    <w:name w:val="page number"/>
    <w:basedOn w:val="VarsaylanParagrafYazTipi"/>
  </w:style>
  <w:style w:type="table" w:styleId="TabloKlavuzu">
    <w:name w:val="Table Grid"/>
    <w:basedOn w:val="NormalTablo"/>
    <w:rsid w:val="00DD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642A7D"/>
    <w:rPr>
      <w:rFonts w:ascii="Tahoma" w:hAnsi="Tahoma" w:cs="Tahoma"/>
      <w:sz w:val="16"/>
      <w:szCs w:val="16"/>
    </w:rPr>
  </w:style>
  <w:style w:type="paragraph" w:styleId="ResimYazs">
    <w:name w:val="caption"/>
    <w:basedOn w:val="Normal"/>
    <w:next w:val="Normal"/>
    <w:qFormat/>
    <w:rsid w:val="004773B2"/>
    <w:pPr>
      <w:spacing w:before="120" w:after="120"/>
    </w:pPr>
    <w:rPr>
      <w:rFonts w:ascii="Times New Roman" w:hAnsi="Times New Roman"/>
      <w:b/>
    </w:rPr>
  </w:style>
  <w:style w:type="paragraph" w:styleId="bekMetni">
    <w:name w:val="Block Text"/>
    <w:basedOn w:val="Normal"/>
    <w:rsid w:val="00D456C6"/>
    <w:pPr>
      <w:ind w:left="1080" w:right="720"/>
      <w:jc w:val="both"/>
    </w:pPr>
    <w:rPr>
      <w:rFonts w:cs="Arial"/>
      <w:sz w:val="24"/>
      <w:szCs w:val="24"/>
    </w:rPr>
  </w:style>
  <w:style w:type="paragraph" w:customStyle="1" w:styleId="Ama">
    <w:name w:val="Amaç"/>
    <w:basedOn w:val="Normal"/>
    <w:next w:val="GvdeMetni"/>
    <w:rsid w:val="00D456C6"/>
    <w:pPr>
      <w:spacing w:before="240" w:after="220" w:line="220" w:lineRule="atLeast"/>
    </w:pPr>
    <w:rPr>
      <w:sz w:val="24"/>
    </w:rPr>
  </w:style>
  <w:style w:type="paragraph" w:customStyle="1" w:styleId="BlmAltKonuBal">
    <w:name w:val="Bölüm Alt Konu Başlığı"/>
    <w:basedOn w:val="Normal"/>
    <w:next w:val="Normal"/>
    <w:autoRedefine/>
    <w:rsid w:val="00690613"/>
    <w:pPr>
      <w:tabs>
        <w:tab w:val="num" w:pos="142"/>
        <w:tab w:val="num" w:pos="540"/>
        <w:tab w:val="left" w:pos="567"/>
        <w:tab w:val="left" w:pos="720"/>
        <w:tab w:val="left" w:pos="900"/>
      </w:tabs>
      <w:ind w:left="567" w:right="424"/>
      <w:jc w:val="both"/>
    </w:pPr>
    <w:rPr>
      <w:rFonts w:cs="Arial"/>
      <w:b/>
      <w:color w:val="000000"/>
      <w:sz w:val="22"/>
      <w:szCs w:val="22"/>
    </w:rPr>
  </w:style>
  <w:style w:type="character" w:customStyle="1" w:styleId="AltBilgiChar">
    <w:name w:val="Alt Bilgi Char"/>
    <w:link w:val="AltBilgi1"/>
    <w:uiPriority w:val="99"/>
    <w:rsid w:val="005B6377"/>
    <w:rPr>
      <w:rFonts w:ascii="Arial" w:hAnsi="Arial"/>
    </w:rPr>
  </w:style>
  <w:style w:type="character" w:customStyle="1" w:styleId="stBilgiChar">
    <w:name w:val="Üst Bilgi Char"/>
    <w:link w:val="stBilgi1"/>
    <w:uiPriority w:val="99"/>
    <w:rsid w:val="005B6377"/>
    <w:rPr>
      <w:rFonts w:ascii="Arial" w:hAnsi="Arial"/>
    </w:rPr>
  </w:style>
  <w:style w:type="paragraph" w:styleId="NormalWeb">
    <w:name w:val="Normal (Web)"/>
    <w:basedOn w:val="Normal"/>
    <w:uiPriority w:val="99"/>
    <w:unhideWhenUsed/>
    <w:rsid w:val="00413CEB"/>
    <w:pPr>
      <w:spacing w:before="100" w:beforeAutospacing="1" w:after="100" w:afterAutospacing="1"/>
    </w:pPr>
    <w:rPr>
      <w:rFonts w:ascii="Times New Roman" w:hAnsi="Times New Roman"/>
      <w:sz w:val="24"/>
      <w:szCs w:val="24"/>
    </w:rPr>
  </w:style>
  <w:style w:type="paragraph" w:styleId="stBilgi">
    <w:name w:val="header"/>
    <w:basedOn w:val="Normal"/>
    <w:link w:val="stBilgiChar1"/>
    <w:uiPriority w:val="99"/>
    <w:rsid w:val="00A57566"/>
    <w:pPr>
      <w:tabs>
        <w:tab w:val="center" w:pos="4536"/>
        <w:tab w:val="right" w:pos="9072"/>
      </w:tabs>
    </w:pPr>
  </w:style>
  <w:style w:type="character" w:customStyle="1" w:styleId="stBilgiChar1">
    <w:name w:val="Üst Bilgi Char1"/>
    <w:basedOn w:val="VarsaylanParagrafYazTipi"/>
    <w:link w:val="stBilgi"/>
    <w:uiPriority w:val="99"/>
    <w:rsid w:val="00A57566"/>
    <w:rPr>
      <w:rFonts w:ascii="Arial" w:hAnsi="Arial"/>
    </w:rPr>
  </w:style>
  <w:style w:type="paragraph" w:styleId="AltBilgi">
    <w:name w:val="footer"/>
    <w:basedOn w:val="Normal"/>
    <w:link w:val="AltBilgiChar1"/>
    <w:uiPriority w:val="99"/>
    <w:rsid w:val="00A57566"/>
    <w:pPr>
      <w:tabs>
        <w:tab w:val="center" w:pos="4536"/>
        <w:tab w:val="right" w:pos="9072"/>
      </w:tabs>
    </w:pPr>
  </w:style>
  <w:style w:type="character" w:customStyle="1" w:styleId="AltBilgiChar1">
    <w:name w:val="Alt Bilgi Char1"/>
    <w:basedOn w:val="VarsaylanParagrafYazTipi"/>
    <w:link w:val="AltBilgi"/>
    <w:uiPriority w:val="99"/>
    <w:rsid w:val="00A57566"/>
    <w:rPr>
      <w:rFonts w:ascii="Arial" w:hAnsi="Arial"/>
    </w:rPr>
  </w:style>
  <w:style w:type="paragraph" w:styleId="ListeParagraf">
    <w:name w:val="List Paragraph"/>
    <w:basedOn w:val="Normal"/>
    <w:uiPriority w:val="72"/>
    <w:qFormat/>
    <w:rsid w:val="001D7712"/>
    <w:pPr>
      <w:ind w:left="720"/>
      <w:contextualSpacing/>
    </w:pPr>
  </w:style>
  <w:style w:type="paragraph" w:customStyle="1" w:styleId="a">
    <w:basedOn w:val="Normal"/>
    <w:next w:val="stBilgi"/>
    <w:link w:val="stbilgiChar0"/>
    <w:rsid w:val="00BC0749"/>
    <w:pPr>
      <w:tabs>
        <w:tab w:val="center" w:pos="4320"/>
        <w:tab w:val="right" w:pos="8640"/>
      </w:tabs>
    </w:pPr>
    <w:rPr>
      <w:rFonts w:ascii="Times New Roman" w:hAnsi="Times New Roman"/>
      <w:lang w:val="en-US"/>
    </w:rPr>
  </w:style>
  <w:style w:type="character" w:customStyle="1" w:styleId="stbilgiChar0">
    <w:name w:val="Üstbilgi Char"/>
    <w:link w:val="a"/>
    <w:rsid w:val="00BC0749"/>
    <w:rPr>
      <w:lang w:val="en-US"/>
    </w:rPr>
  </w:style>
  <w:style w:type="paragraph" w:styleId="DipnotMetni">
    <w:name w:val="footnote text"/>
    <w:basedOn w:val="Normal"/>
    <w:link w:val="DipnotMetniChar"/>
    <w:rsid w:val="00BC0749"/>
    <w:pPr>
      <w:spacing w:before="20" w:after="20"/>
      <w:jc w:val="both"/>
    </w:pPr>
    <w:rPr>
      <w:sz w:val="22"/>
      <w:lang w:val="x-none" w:eastAsia="x-none"/>
    </w:rPr>
  </w:style>
  <w:style w:type="character" w:customStyle="1" w:styleId="DipnotMetniChar">
    <w:name w:val="Dipnot Metni Char"/>
    <w:basedOn w:val="VarsaylanParagrafYazTipi"/>
    <w:link w:val="DipnotMetni"/>
    <w:rsid w:val="00BC0749"/>
    <w:rPr>
      <w:rFonts w:ascii="Arial" w:hAnsi="Arial"/>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51143">
      <w:bodyDiv w:val="1"/>
      <w:marLeft w:val="0"/>
      <w:marRight w:val="0"/>
      <w:marTop w:val="0"/>
      <w:marBottom w:val="0"/>
      <w:divBdr>
        <w:top w:val="none" w:sz="0" w:space="0" w:color="auto"/>
        <w:left w:val="none" w:sz="0" w:space="0" w:color="auto"/>
        <w:bottom w:val="none" w:sz="0" w:space="0" w:color="auto"/>
        <w:right w:val="none" w:sz="0" w:space="0" w:color="auto"/>
      </w:divBdr>
    </w:div>
    <w:div w:id="1096096594">
      <w:bodyDiv w:val="1"/>
      <w:marLeft w:val="0"/>
      <w:marRight w:val="0"/>
      <w:marTop w:val="0"/>
      <w:marBottom w:val="0"/>
      <w:divBdr>
        <w:top w:val="none" w:sz="0" w:space="0" w:color="auto"/>
        <w:left w:val="none" w:sz="0" w:space="0" w:color="auto"/>
        <w:bottom w:val="none" w:sz="0" w:space="0" w:color="auto"/>
        <w:right w:val="none" w:sz="0" w:space="0" w:color="auto"/>
      </w:divBdr>
    </w:div>
    <w:div w:id="1196969843">
      <w:bodyDiv w:val="1"/>
      <w:marLeft w:val="0"/>
      <w:marRight w:val="0"/>
      <w:marTop w:val="0"/>
      <w:marBottom w:val="0"/>
      <w:divBdr>
        <w:top w:val="none" w:sz="0" w:space="0" w:color="auto"/>
        <w:left w:val="none" w:sz="0" w:space="0" w:color="auto"/>
        <w:bottom w:val="none" w:sz="0" w:space="0" w:color="auto"/>
        <w:right w:val="none" w:sz="0" w:space="0" w:color="auto"/>
      </w:divBdr>
    </w:div>
    <w:div w:id="1334145462">
      <w:bodyDiv w:val="1"/>
      <w:marLeft w:val="0"/>
      <w:marRight w:val="0"/>
      <w:marTop w:val="0"/>
      <w:marBottom w:val="0"/>
      <w:divBdr>
        <w:top w:val="none" w:sz="0" w:space="0" w:color="auto"/>
        <w:left w:val="none" w:sz="0" w:space="0" w:color="auto"/>
        <w:bottom w:val="none" w:sz="0" w:space="0" w:color="auto"/>
        <w:right w:val="none" w:sz="0" w:space="0" w:color="auto"/>
      </w:divBdr>
    </w:div>
    <w:div w:id="1554805065">
      <w:bodyDiv w:val="1"/>
      <w:marLeft w:val="0"/>
      <w:marRight w:val="0"/>
      <w:marTop w:val="0"/>
      <w:marBottom w:val="0"/>
      <w:divBdr>
        <w:top w:val="none" w:sz="0" w:space="0" w:color="auto"/>
        <w:left w:val="none" w:sz="0" w:space="0" w:color="auto"/>
        <w:bottom w:val="none" w:sz="0" w:space="0" w:color="auto"/>
        <w:right w:val="none" w:sz="0" w:space="0" w:color="auto"/>
      </w:divBdr>
    </w:div>
    <w:div w:id="1597789673">
      <w:bodyDiv w:val="1"/>
      <w:marLeft w:val="0"/>
      <w:marRight w:val="0"/>
      <w:marTop w:val="0"/>
      <w:marBottom w:val="0"/>
      <w:divBdr>
        <w:top w:val="none" w:sz="0" w:space="0" w:color="auto"/>
        <w:left w:val="none" w:sz="0" w:space="0" w:color="auto"/>
        <w:bottom w:val="none" w:sz="0" w:space="0" w:color="auto"/>
        <w:right w:val="none" w:sz="0" w:space="0" w:color="auto"/>
      </w:divBdr>
    </w:div>
    <w:div w:id="16662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EC644-4BF4-4BB0-9646-901C8011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4302</Characters>
  <Application>Microsoft Office Word</Application>
  <DocSecurity>0</DocSecurity>
  <Lines>35</Lines>
  <Paragraphs>9</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lpstr>
      <vt: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Asuman</dc:creator>
  <cp:keywords/>
  <cp:lastModifiedBy>Abu Kalite Yönetimi</cp:lastModifiedBy>
  <cp:revision>3</cp:revision>
  <cp:lastPrinted>2010-03-19T13:01:00Z</cp:lastPrinted>
  <dcterms:created xsi:type="dcterms:W3CDTF">2022-12-26T13:36:00Z</dcterms:created>
  <dcterms:modified xsi:type="dcterms:W3CDTF">2024-06-13T07:09:00Z</dcterms:modified>
</cp:coreProperties>
</file>