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32" w:rsidRPr="00EA7A17" w:rsidRDefault="000F1732" w:rsidP="000F1732">
      <w:pPr>
        <w:pStyle w:val="Heading1"/>
        <w:jc w:val="center"/>
        <w:rPr>
          <w:rFonts w:asciiTheme="majorBidi" w:hAnsiTheme="majorBidi" w:cstheme="majorBidi"/>
          <w:i/>
          <w:iCs/>
          <w:sz w:val="22"/>
          <w:szCs w:val="22"/>
        </w:rPr>
      </w:pPr>
      <w:r w:rsidRPr="00EA7A17">
        <w:rPr>
          <w:rFonts w:asciiTheme="majorBidi" w:hAnsiTheme="majorBidi" w:cstheme="majorBidi"/>
          <w:i/>
          <w:iCs/>
          <w:sz w:val="22"/>
          <w:szCs w:val="22"/>
        </w:rPr>
        <w:t>Antalya Bilim University</w:t>
      </w:r>
    </w:p>
    <w:p w:rsidR="000F1732" w:rsidRPr="00EA7A17" w:rsidRDefault="000F1732" w:rsidP="000F1732">
      <w:pPr>
        <w:pStyle w:val="Heading1"/>
        <w:jc w:val="center"/>
        <w:rPr>
          <w:rFonts w:asciiTheme="majorBidi" w:hAnsiTheme="majorBidi" w:cstheme="majorBidi"/>
          <w:i/>
          <w:iCs/>
          <w:sz w:val="22"/>
          <w:szCs w:val="22"/>
        </w:rPr>
      </w:pPr>
      <w:r w:rsidRPr="00EA7A17">
        <w:rPr>
          <w:rFonts w:asciiTheme="majorBidi" w:hAnsiTheme="majorBidi" w:cstheme="majorBidi"/>
          <w:i/>
          <w:iCs/>
          <w:sz w:val="22"/>
          <w:szCs w:val="22"/>
        </w:rPr>
        <w:t>School of Business and Social Sciences</w:t>
      </w:r>
    </w:p>
    <w:p w:rsidR="00787ADA" w:rsidRPr="00EA7A17" w:rsidRDefault="000F1732" w:rsidP="009562DE">
      <w:pPr>
        <w:pStyle w:val="Heading1"/>
        <w:jc w:val="center"/>
        <w:rPr>
          <w:rFonts w:asciiTheme="majorBidi" w:hAnsiTheme="majorBidi" w:cstheme="majorBidi"/>
          <w:i/>
          <w:iCs/>
          <w:sz w:val="22"/>
          <w:szCs w:val="22"/>
        </w:rPr>
      </w:pPr>
      <w:r w:rsidRPr="00EA7A17">
        <w:rPr>
          <w:rFonts w:asciiTheme="majorBidi" w:hAnsiTheme="majorBidi" w:cstheme="majorBidi"/>
          <w:i/>
          <w:iCs/>
          <w:sz w:val="22"/>
          <w:szCs w:val="22"/>
        </w:rPr>
        <w:t>Business Administration Department</w:t>
      </w:r>
    </w:p>
    <w:p w:rsidR="00787ADA" w:rsidRPr="00EA7A17" w:rsidRDefault="009562DE" w:rsidP="009562DE">
      <w:pPr>
        <w:jc w:val="center"/>
        <w:rPr>
          <w:b/>
          <w:i/>
          <w:iCs/>
          <w:sz w:val="22"/>
          <w:szCs w:val="22"/>
        </w:rPr>
      </w:pPr>
      <w:r>
        <w:rPr>
          <w:rFonts w:asciiTheme="majorBidi" w:hAnsiTheme="majorBidi" w:cstheme="majorBidi"/>
          <w:b/>
          <w:i/>
          <w:iCs/>
          <w:sz w:val="22"/>
          <w:szCs w:val="22"/>
        </w:rPr>
        <w:t>Stat</w:t>
      </w:r>
      <w:r w:rsidR="00987FBE">
        <w:rPr>
          <w:rFonts w:asciiTheme="majorBidi" w:hAnsiTheme="majorBidi" w:cstheme="majorBidi"/>
          <w:b/>
          <w:i/>
          <w:iCs/>
          <w:sz w:val="22"/>
          <w:szCs w:val="22"/>
        </w:rPr>
        <w:t>istics f</w:t>
      </w:r>
      <w:r>
        <w:rPr>
          <w:rFonts w:asciiTheme="majorBidi" w:hAnsiTheme="majorBidi" w:cstheme="majorBidi"/>
          <w:b/>
          <w:i/>
          <w:iCs/>
          <w:sz w:val="22"/>
          <w:szCs w:val="22"/>
        </w:rPr>
        <w:t>or Social Science Course Syllabus,</w:t>
      </w:r>
      <w:r w:rsidRPr="009562DE">
        <w:rPr>
          <w:rFonts w:asciiTheme="majorBidi" w:hAnsiTheme="majorBidi" w:cstheme="majorBidi"/>
          <w:b/>
          <w:bCs/>
          <w:i/>
          <w:iCs/>
          <w:sz w:val="22"/>
          <w:szCs w:val="22"/>
        </w:rPr>
        <w:t xml:space="preserve"> Math 204</w:t>
      </w:r>
    </w:p>
    <w:p w:rsidR="000F1732" w:rsidRPr="00EA7A17" w:rsidRDefault="000F1732" w:rsidP="000F1732">
      <w:pPr>
        <w:pStyle w:val="Heading1"/>
        <w:jc w:val="center"/>
        <w:rPr>
          <w:rFonts w:asciiTheme="majorBidi" w:hAnsiTheme="majorBidi" w:cstheme="majorBidi"/>
          <w:i/>
          <w:iCs/>
          <w:sz w:val="22"/>
          <w:szCs w:val="22"/>
        </w:rPr>
      </w:pPr>
      <w:r w:rsidRPr="00EA7A17">
        <w:rPr>
          <w:rFonts w:asciiTheme="majorBidi" w:hAnsiTheme="majorBidi" w:cstheme="majorBidi"/>
          <w:bCs/>
          <w:i/>
          <w:iCs/>
          <w:sz w:val="22"/>
          <w:szCs w:val="22"/>
        </w:rPr>
        <w:t>Fall Semester</w:t>
      </w:r>
      <w:r w:rsidR="002D39DF">
        <w:rPr>
          <w:rFonts w:asciiTheme="majorBidi" w:hAnsiTheme="majorBidi" w:cstheme="majorBidi"/>
          <w:i/>
          <w:iCs/>
          <w:sz w:val="22"/>
          <w:szCs w:val="22"/>
        </w:rPr>
        <w:t xml:space="preserve"> 2019</w:t>
      </w:r>
    </w:p>
    <w:p w:rsidR="00787ADA" w:rsidRPr="00EA7A17" w:rsidRDefault="00787ADA">
      <w:pPr>
        <w:jc w:val="center"/>
        <w:rPr>
          <w:i/>
          <w:iCs/>
          <w:sz w:val="22"/>
          <w:szCs w:val="22"/>
        </w:rPr>
      </w:pPr>
    </w:p>
    <w:p w:rsidR="00B93B86" w:rsidRPr="009562DE" w:rsidRDefault="0063291F" w:rsidP="001A01C7">
      <w:pPr>
        <w:jc w:val="center"/>
        <w:rPr>
          <w:b/>
          <w:bCs/>
          <w:i/>
          <w:iCs/>
          <w:sz w:val="22"/>
          <w:szCs w:val="22"/>
        </w:rPr>
      </w:pPr>
      <w:r>
        <w:rPr>
          <w:b/>
          <w:bCs/>
          <w:i/>
          <w:iCs/>
          <w:sz w:val="22"/>
          <w:szCs w:val="22"/>
        </w:rPr>
        <w:t>Class time: Mon. @ 9:30</w:t>
      </w:r>
    </w:p>
    <w:p w:rsidR="00B93B86" w:rsidRPr="00EA7A17" w:rsidRDefault="00B93B86">
      <w:pPr>
        <w:jc w:val="center"/>
        <w:rPr>
          <w:i/>
          <w:iCs/>
          <w:sz w:val="22"/>
          <w:szCs w:val="22"/>
        </w:rPr>
      </w:pPr>
    </w:p>
    <w:p w:rsidR="00B93B86" w:rsidRPr="00EA7A17" w:rsidRDefault="00B93B86">
      <w:pPr>
        <w:jc w:val="center"/>
        <w:rPr>
          <w:i/>
          <w:iCs/>
          <w:sz w:val="22"/>
          <w:szCs w:val="22"/>
        </w:rPr>
      </w:pPr>
      <w:r w:rsidRPr="00EA7A17">
        <w:rPr>
          <w:b/>
          <w:bCs/>
          <w:i/>
          <w:iCs/>
          <w:sz w:val="22"/>
          <w:szCs w:val="22"/>
        </w:rPr>
        <w:t>Office hours</w:t>
      </w:r>
      <w:r w:rsidR="0063291F">
        <w:rPr>
          <w:i/>
          <w:iCs/>
          <w:sz w:val="22"/>
          <w:szCs w:val="22"/>
        </w:rPr>
        <w:t>:</w:t>
      </w:r>
      <w:r w:rsidR="0063291F">
        <w:rPr>
          <w:i/>
          <w:iCs/>
          <w:sz w:val="22"/>
          <w:szCs w:val="22"/>
        </w:rPr>
        <w:tab/>
        <w:t>Mon</w:t>
      </w:r>
      <w:r w:rsidRPr="00EA7A17">
        <w:rPr>
          <w:i/>
          <w:iCs/>
          <w:sz w:val="22"/>
          <w:szCs w:val="22"/>
        </w:rPr>
        <w:t>.</w:t>
      </w:r>
      <w:r w:rsidR="0063291F">
        <w:rPr>
          <w:i/>
          <w:iCs/>
          <w:sz w:val="22"/>
          <w:szCs w:val="22"/>
        </w:rPr>
        <w:t xml:space="preserve"> </w:t>
      </w:r>
      <w:r w:rsidRPr="00EA7A17">
        <w:rPr>
          <w:i/>
          <w:iCs/>
          <w:sz w:val="22"/>
          <w:szCs w:val="22"/>
        </w:rPr>
        <w:t>14:00 – 15:00</w:t>
      </w:r>
    </w:p>
    <w:p w:rsidR="00B93B86" w:rsidRPr="00EA7A17" w:rsidRDefault="00B93B86">
      <w:pPr>
        <w:jc w:val="center"/>
        <w:rPr>
          <w:i/>
          <w:iCs/>
          <w:sz w:val="22"/>
          <w:szCs w:val="22"/>
        </w:rPr>
      </w:pPr>
    </w:p>
    <w:p w:rsidR="00B93B86" w:rsidRPr="00ED0FA2" w:rsidRDefault="00B93B86">
      <w:pPr>
        <w:jc w:val="center"/>
        <w:rPr>
          <w:b/>
          <w:bCs/>
          <w:i/>
          <w:iCs/>
          <w:sz w:val="22"/>
          <w:szCs w:val="22"/>
        </w:rPr>
      </w:pPr>
      <w:r w:rsidRPr="00ED0FA2">
        <w:rPr>
          <w:b/>
          <w:bCs/>
          <w:i/>
          <w:iCs/>
          <w:sz w:val="22"/>
          <w:szCs w:val="22"/>
        </w:rPr>
        <w:t>Assoc.Prof. Bushra Soummakie</w:t>
      </w:r>
    </w:p>
    <w:p w:rsidR="00EA7A17" w:rsidRDefault="00EA7A17">
      <w:pPr>
        <w:jc w:val="center"/>
        <w:rPr>
          <w:i/>
          <w:iCs/>
          <w:sz w:val="22"/>
          <w:szCs w:val="22"/>
        </w:rPr>
      </w:pPr>
      <w:r w:rsidRPr="00EA7A17">
        <w:rPr>
          <w:b/>
          <w:bCs/>
          <w:i/>
          <w:iCs/>
          <w:sz w:val="22"/>
          <w:szCs w:val="22"/>
        </w:rPr>
        <w:t>E-mail</w:t>
      </w:r>
      <w:r w:rsidRPr="00EA7A17">
        <w:rPr>
          <w:i/>
          <w:iCs/>
          <w:sz w:val="22"/>
          <w:szCs w:val="22"/>
        </w:rPr>
        <w:t xml:space="preserve">: </w:t>
      </w:r>
      <w:hyperlink r:id="rId7" w:history="1">
        <w:r w:rsidRPr="004C3C0C">
          <w:rPr>
            <w:rStyle w:val="Hyperlink"/>
            <w:i/>
            <w:iCs/>
            <w:sz w:val="22"/>
            <w:szCs w:val="22"/>
          </w:rPr>
          <w:t>bushra.soummakie@antalya.edu.tr</w:t>
        </w:r>
      </w:hyperlink>
    </w:p>
    <w:p w:rsidR="00EA7A17" w:rsidRDefault="00EA7A17">
      <w:pPr>
        <w:jc w:val="center"/>
        <w:rPr>
          <w:i/>
          <w:iCs/>
          <w:sz w:val="22"/>
          <w:szCs w:val="22"/>
        </w:rPr>
      </w:pPr>
      <w:r w:rsidRPr="00EA7A17">
        <w:rPr>
          <w:b/>
          <w:bCs/>
          <w:i/>
          <w:iCs/>
          <w:sz w:val="22"/>
          <w:szCs w:val="22"/>
        </w:rPr>
        <w:t>Office location:</w:t>
      </w:r>
      <w:r>
        <w:rPr>
          <w:i/>
          <w:iCs/>
          <w:sz w:val="22"/>
          <w:szCs w:val="22"/>
        </w:rPr>
        <w:t xml:space="preserve">  </w:t>
      </w:r>
      <w:r w:rsidRPr="00EA7A17">
        <w:rPr>
          <w:i/>
          <w:iCs/>
          <w:sz w:val="22"/>
          <w:szCs w:val="22"/>
        </w:rPr>
        <w:t>A2, 73, Level 2</w:t>
      </w:r>
    </w:p>
    <w:p w:rsidR="00EA7A17" w:rsidRDefault="00EA7A17">
      <w:pPr>
        <w:jc w:val="center"/>
        <w:rPr>
          <w:i/>
          <w:iCs/>
          <w:sz w:val="22"/>
          <w:szCs w:val="22"/>
        </w:rPr>
      </w:pPr>
    </w:p>
    <w:p w:rsidR="00EA7A17" w:rsidRDefault="00EA7A17" w:rsidP="00FA482E">
      <w:pPr>
        <w:jc w:val="both"/>
        <w:rPr>
          <w:rFonts w:asciiTheme="majorBidi" w:hAnsiTheme="majorBidi" w:cstheme="majorBidi"/>
          <w:i/>
          <w:iCs/>
          <w:sz w:val="22"/>
          <w:szCs w:val="22"/>
        </w:rPr>
      </w:pPr>
      <w:r w:rsidRPr="00BC569C">
        <w:rPr>
          <w:rFonts w:asciiTheme="majorBidi" w:hAnsiTheme="majorBidi" w:cstheme="majorBidi"/>
          <w:i/>
          <w:iCs/>
          <w:sz w:val="22"/>
          <w:szCs w:val="22"/>
        </w:rPr>
        <w:t>This course offers an introduction to statistics. We begin by introducing the basics of data, defining and collecting data then organizing and visualizing variables. We will learn how to construct and interpret certain descriptive statistics, such as the mean and the variance, that characterize the distribution of data. After covering some basic concepts in probability theory, we will introduce the idea of a random variable and the distribution of a random variable. Since the applied economist uses statistics on data, an important objective of the course is to provide the student with the ability to organize and investigate data using Microsoft Excel / SPSS programs.</w:t>
      </w:r>
    </w:p>
    <w:p w:rsidR="00EA7A17" w:rsidRDefault="00EA7A17" w:rsidP="00EA7A17">
      <w:pPr>
        <w:rPr>
          <w:rFonts w:asciiTheme="majorBidi" w:hAnsiTheme="majorBidi" w:cstheme="majorBidi"/>
          <w:i/>
          <w:iCs/>
          <w:sz w:val="22"/>
          <w:szCs w:val="22"/>
        </w:rPr>
      </w:pPr>
    </w:p>
    <w:p w:rsidR="00EA7A17" w:rsidRDefault="00EA7A17" w:rsidP="00EA7A17">
      <w:pPr>
        <w:ind w:left="1440" w:hanging="1440"/>
        <w:rPr>
          <w:i/>
          <w:iCs/>
          <w:sz w:val="22"/>
          <w:szCs w:val="22"/>
        </w:rPr>
      </w:pPr>
      <w:r w:rsidRPr="00EA7A17">
        <w:rPr>
          <w:b/>
          <w:bCs/>
          <w:i/>
          <w:iCs/>
          <w:sz w:val="22"/>
          <w:szCs w:val="22"/>
          <w:u w:val="single"/>
        </w:rPr>
        <w:t>Textbook</w:t>
      </w:r>
      <w:r w:rsidRPr="00EA7A17">
        <w:rPr>
          <w:i/>
          <w:iCs/>
          <w:sz w:val="22"/>
          <w:szCs w:val="22"/>
          <w:u w:val="single"/>
        </w:rPr>
        <w:t>:</w:t>
      </w:r>
      <w:r w:rsidRPr="00EA7A17">
        <w:rPr>
          <w:i/>
          <w:iCs/>
          <w:sz w:val="22"/>
          <w:szCs w:val="22"/>
        </w:rPr>
        <w:tab/>
        <w:t>Berenson M., D. Levine and K. Szabat, Basic Business Statistics Conc</w:t>
      </w:r>
      <w:r w:rsidR="00AE1B98">
        <w:rPr>
          <w:i/>
          <w:iCs/>
          <w:sz w:val="22"/>
          <w:szCs w:val="22"/>
        </w:rPr>
        <w:t>epts and Applications, 13th.ed.</w:t>
      </w:r>
      <w:r w:rsidRPr="00EA7A17">
        <w:rPr>
          <w:i/>
          <w:iCs/>
          <w:sz w:val="22"/>
          <w:szCs w:val="22"/>
        </w:rPr>
        <w:t>, Pearson, 2015.</w:t>
      </w:r>
    </w:p>
    <w:p w:rsidR="00EA7A17" w:rsidRDefault="00EA7A17" w:rsidP="00EA7A17">
      <w:pPr>
        <w:ind w:left="1440" w:hanging="1440"/>
        <w:rPr>
          <w:i/>
          <w:iCs/>
          <w:sz w:val="22"/>
          <w:szCs w:val="22"/>
        </w:rPr>
      </w:pPr>
      <w:r w:rsidRPr="00EA7A17">
        <w:rPr>
          <w:b/>
          <w:bCs/>
          <w:i/>
          <w:iCs/>
          <w:sz w:val="22"/>
          <w:szCs w:val="22"/>
          <w:u w:val="single"/>
        </w:rPr>
        <w:t>Reference</w:t>
      </w:r>
      <w:r>
        <w:rPr>
          <w:b/>
          <w:bCs/>
          <w:i/>
          <w:iCs/>
          <w:sz w:val="22"/>
          <w:szCs w:val="22"/>
          <w:u w:val="single"/>
        </w:rPr>
        <w:t>:</w:t>
      </w:r>
      <w:r w:rsidRPr="00EA7A17">
        <w:rPr>
          <w:i/>
          <w:iCs/>
          <w:sz w:val="22"/>
          <w:szCs w:val="22"/>
        </w:rPr>
        <w:tab/>
        <w:t>McClave J.T., P.G. Benson and T. Sincich, Statistics for Business and Economics, 13th.ed., Pearson Education, 2018</w:t>
      </w:r>
    </w:p>
    <w:p w:rsidR="0007279D" w:rsidRDefault="0007279D" w:rsidP="00EA7A17">
      <w:pPr>
        <w:ind w:left="1440" w:hanging="1440"/>
        <w:rPr>
          <w:sz w:val="22"/>
          <w:szCs w:val="22"/>
        </w:rPr>
      </w:pPr>
    </w:p>
    <w:p w:rsidR="0007279D" w:rsidRPr="0007279D" w:rsidRDefault="0007279D" w:rsidP="0007279D">
      <w:pPr>
        <w:ind w:left="1440" w:hanging="1440"/>
        <w:rPr>
          <w:b/>
          <w:bCs/>
          <w:i/>
          <w:iCs/>
          <w:sz w:val="22"/>
          <w:szCs w:val="22"/>
          <w:u w:val="single"/>
        </w:rPr>
      </w:pPr>
      <w:r w:rsidRPr="0007279D">
        <w:rPr>
          <w:b/>
          <w:bCs/>
          <w:i/>
          <w:iCs/>
          <w:sz w:val="22"/>
          <w:szCs w:val="22"/>
          <w:u w:val="single"/>
        </w:rPr>
        <w:t>Developing Graduate Attributes</w:t>
      </w:r>
    </w:p>
    <w:p w:rsidR="0007279D" w:rsidRPr="0007279D" w:rsidRDefault="0007279D" w:rsidP="0007279D">
      <w:pPr>
        <w:rPr>
          <w:i/>
          <w:iCs/>
          <w:sz w:val="22"/>
          <w:szCs w:val="22"/>
        </w:rPr>
      </w:pPr>
      <w:r w:rsidRPr="0007279D">
        <w:rPr>
          <w:i/>
          <w:iCs/>
          <w:sz w:val="22"/>
          <w:szCs w:val="22"/>
        </w:rPr>
        <w:t>Students will be encouraged to develop the following graduat</w:t>
      </w:r>
      <w:r>
        <w:rPr>
          <w:i/>
          <w:iCs/>
          <w:sz w:val="22"/>
          <w:szCs w:val="22"/>
        </w:rPr>
        <w:t xml:space="preserve">e attributes by undertaking the </w:t>
      </w:r>
      <w:r w:rsidRPr="0007279D">
        <w:rPr>
          <w:i/>
          <w:iCs/>
          <w:sz w:val="22"/>
          <w:szCs w:val="22"/>
        </w:rPr>
        <w:t>course activities and mastering the course contents. These attributes will be assessed within the assessment tasks:</w:t>
      </w:r>
    </w:p>
    <w:p w:rsidR="0007279D" w:rsidRPr="0007279D" w:rsidRDefault="0007279D" w:rsidP="0007279D">
      <w:pPr>
        <w:pStyle w:val="ListParagraph"/>
        <w:numPr>
          <w:ilvl w:val="0"/>
          <w:numId w:val="1"/>
        </w:numPr>
        <w:rPr>
          <w:i/>
          <w:iCs/>
          <w:sz w:val="22"/>
          <w:szCs w:val="22"/>
        </w:rPr>
      </w:pPr>
      <w:r w:rsidRPr="0007279D">
        <w:rPr>
          <w:i/>
          <w:iCs/>
          <w:sz w:val="22"/>
          <w:szCs w:val="22"/>
        </w:rPr>
        <w:t>skills involved in scholarly enquiry;</w:t>
      </w:r>
    </w:p>
    <w:p w:rsidR="0007279D" w:rsidRPr="0007279D" w:rsidRDefault="0007279D" w:rsidP="0007279D">
      <w:pPr>
        <w:pStyle w:val="ListParagraph"/>
        <w:numPr>
          <w:ilvl w:val="0"/>
          <w:numId w:val="1"/>
        </w:numPr>
        <w:rPr>
          <w:i/>
          <w:iCs/>
          <w:sz w:val="22"/>
          <w:szCs w:val="22"/>
        </w:rPr>
      </w:pPr>
      <w:r w:rsidRPr="0007279D">
        <w:rPr>
          <w:i/>
          <w:iCs/>
          <w:sz w:val="22"/>
          <w:szCs w:val="22"/>
        </w:rPr>
        <w:t xml:space="preserve">an in-depth engagement with the relevant     disciplinary knowledge; </w:t>
      </w:r>
    </w:p>
    <w:p w:rsidR="0007279D" w:rsidRPr="0007279D" w:rsidRDefault="0007279D" w:rsidP="0007279D">
      <w:pPr>
        <w:pStyle w:val="ListParagraph"/>
        <w:numPr>
          <w:ilvl w:val="0"/>
          <w:numId w:val="1"/>
        </w:numPr>
        <w:rPr>
          <w:i/>
          <w:iCs/>
          <w:sz w:val="22"/>
          <w:szCs w:val="22"/>
        </w:rPr>
      </w:pPr>
      <w:r w:rsidRPr="0007279D">
        <w:rPr>
          <w:i/>
          <w:iCs/>
          <w:sz w:val="22"/>
          <w:szCs w:val="22"/>
        </w:rPr>
        <w:t>the capacity for analytical and critical thinking;</w:t>
      </w:r>
    </w:p>
    <w:p w:rsidR="0007279D" w:rsidRDefault="0007279D" w:rsidP="0007279D">
      <w:pPr>
        <w:pStyle w:val="ListParagraph"/>
        <w:numPr>
          <w:ilvl w:val="0"/>
          <w:numId w:val="1"/>
        </w:numPr>
        <w:rPr>
          <w:i/>
          <w:iCs/>
          <w:sz w:val="22"/>
          <w:szCs w:val="22"/>
        </w:rPr>
      </w:pPr>
      <w:r w:rsidRPr="0007279D">
        <w:rPr>
          <w:i/>
          <w:iCs/>
          <w:sz w:val="22"/>
          <w:szCs w:val="22"/>
        </w:rPr>
        <w:t>the ability to engage in independent and reflective learning.</w:t>
      </w:r>
    </w:p>
    <w:p w:rsidR="0007279D" w:rsidRDefault="0007279D" w:rsidP="0007279D">
      <w:pPr>
        <w:rPr>
          <w:i/>
          <w:iCs/>
          <w:sz w:val="22"/>
          <w:szCs w:val="22"/>
        </w:rPr>
      </w:pPr>
    </w:p>
    <w:p w:rsidR="0007279D" w:rsidRPr="0007279D" w:rsidRDefault="0007279D" w:rsidP="0007279D">
      <w:pPr>
        <w:rPr>
          <w:rFonts w:asciiTheme="majorBidi" w:hAnsiTheme="majorBidi" w:cstheme="majorBidi"/>
          <w:b/>
          <w:i/>
          <w:iCs/>
          <w:sz w:val="22"/>
          <w:szCs w:val="22"/>
          <w:u w:val="single"/>
        </w:rPr>
      </w:pPr>
      <w:r>
        <w:rPr>
          <w:rFonts w:asciiTheme="majorBidi" w:hAnsiTheme="majorBidi" w:cstheme="majorBidi"/>
          <w:b/>
          <w:i/>
          <w:iCs/>
          <w:sz w:val="22"/>
          <w:szCs w:val="22"/>
          <w:u w:val="single"/>
        </w:rPr>
        <w:t>Academic Honesty</w:t>
      </w:r>
    </w:p>
    <w:p w:rsidR="0007279D" w:rsidRDefault="0007279D" w:rsidP="0007279D">
      <w:pPr>
        <w:rPr>
          <w:rFonts w:asciiTheme="majorBidi" w:hAnsiTheme="majorBidi" w:cstheme="majorBidi"/>
          <w:i/>
          <w:iCs/>
          <w:sz w:val="22"/>
          <w:szCs w:val="22"/>
        </w:rPr>
      </w:pPr>
    </w:p>
    <w:p w:rsidR="0007279D" w:rsidRDefault="0007279D" w:rsidP="00FA482E">
      <w:pPr>
        <w:jc w:val="both"/>
        <w:rPr>
          <w:rFonts w:asciiTheme="majorBidi" w:hAnsiTheme="majorBidi" w:cstheme="majorBidi"/>
          <w:i/>
          <w:iCs/>
          <w:sz w:val="22"/>
          <w:szCs w:val="22"/>
        </w:rPr>
      </w:pPr>
      <w:bookmarkStart w:id="0" w:name="_GoBack"/>
      <w:bookmarkEnd w:id="0"/>
      <w:r w:rsidRPr="00BC569C">
        <w:rPr>
          <w:rFonts w:asciiTheme="majorBidi" w:hAnsiTheme="majorBidi" w:cstheme="majorBidi"/>
          <w:i/>
          <w:iCs/>
          <w:sz w:val="22"/>
          <w:szCs w:val="22"/>
        </w:rPr>
        <w:t>Any form of cheating or academic dishonesty is strictly forbidden in this class. If I find out that an exam turned into me is not the work of the sole person that has his/her name at the top of the page, I will issue a zero grade for the course, and the student may be subject to further disciplinary action.</w:t>
      </w:r>
    </w:p>
    <w:p w:rsidR="0007279D" w:rsidRDefault="0007279D" w:rsidP="0007279D">
      <w:pPr>
        <w:rPr>
          <w:rFonts w:asciiTheme="majorBidi" w:hAnsiTheme="majorBidi" w:cstheme="majorBidi"/>
          <w:i/>
          <w:iCs/>
          <w:sz w:val="22"/>
          <w:szCs w:val="22"/>
        </w:rPr>
      </w:pPr>
    </w:p>
    <w:p w:rsidR="0063291F" w:rsidRDefault="0007279D" w:rsidP="0063291F">
      <w:pPr>
        <w:rPr>
          <w:b/>
          <w:i/>
          <w:iCs/>
          <w:sz w:val="22"/>
          <w:szCs w:val="22"/>
          <w:u w:val="single"/>
        </w:rPr>
      </w:pPr>
      <w:r w:rsidRPr="0007279D">
        <w:rPr>
          <w:b/>
          <w:i/>
          <w:iCs/>
          <w:sz w:val="22"/>
          <w:szCs w:val="22"/>
          <w:u w:val="single"/>
        </w:rPr>
        <w:t>Assessment Criteria:</w:t>
      </w:r>
    </w:p>
    <w:p w:rsidR="0007279D" w:rsidRPr="0063291F" w:rsidRDefault="002D39DF" w:rsidP="0063291F">
      <w:pPr>
        <w:ind w:left="426"/>
        <w:rPr>
          <w:b/>
          <w:i/>
          <w:iCs/>
          <w:sz w:val="22"/>
          <w:szCs w:val="22"/>
          <w:u w:val="single"/>
        </w:rPr>
      </w:pPr>
      <w:r>
        <w:rPr>
          <w:b/>
          <w:i/>
          <w:iCs/>
          <w:sz w:val="22"/>
          <w:szCs w:val="22"/>
        </w:rPr>
        <w:t>Attendance &amp; Participation (20</w:t>
      </w:r>
      <w:r w:rsidR="0007279D" w:rsidRPr="0007279D">
        <w:rPr>
          <w:b/>
          <w:i/>
          <w:iCs/>
          <w:sz w:val="22"/>
          <w:szCs w:val="22"/>
        </w:rPr>
        <w:t>%)</w:t>
      </w:r>
      <w:r w:rsidR="0007279D">
        <w:rPr>
          <w:i/>
          <w:iCs/>
          <w:sz w:val="22"/>
          <w:szCs w:val="22"/>
        </w:rPr>
        <w:t xml:space="preserve">: </w:t>
      </w:r>
      <w:r w:rsidR="0007279D" w:rsidRPr="0007279D">
        <w:rPr>
          <w:i/>
          <w:iCs/>
          <w:sz w:val="22"/>
          <w:szCs w:val="22"/>
        </w:rPr>
        <w:t xml:space="preserve">Students are required to exhibit proper discipline, behavior, and responsibility. </w:t>
      </w:r>
    </w:p>
    <w:p w:rsidR="0007279D" w:rsidRPr="0007279D" w:rsidRDefault="0007279D" w:rsidP="0063291F">
      <w:pPr>
        <w:ind w:left="426"/>
        <w:rPr>
          <w:i/>
          <w:iCs/>
          <w:sz w:val="22"/>
          <w:szCs w:val="22"/>
        </w:rPr>
      </w:pPr>
      <w:r w:rsidRPr="0007279D">
        <w:rPr>
          <w:b/>
          <w:i/>
          <w:iCs/>
          <w:sz w:val="22"/>
          <w:szCs w:val="22"/>
        </w:rPr>
        <w:t>Midterm (</w:t>
      </w:r>
      <w:r w:rsidR="002D39DF">
        <w:rPr>
          <w:b/>
          <w:i/>
          <w:iCs/>
          <w:sz w:val="22"/>
          <w:szCs w:val="22"/>
        </w:rPr>
        <w:t>30</w:t>
      </w:r>
      <w:r w:rsidRPr="0007279D">
        <w:rPr>
          <w:b/>
          <w:i/>
          <w:iCs/>
          <w:sz w:val="22"/>
          <w:szCs w:val="22"/>
        </w:rPr>
        <w:t>%):</w:t>
      </w:r>
      <w:r w:rsidRPr="0007279D">
        <w:rPr>
          <w:i/>
          <w:iCs/>
          <w:sz w:val="22"/>
          <w:szCs w:val="22"/>
        </w:rPr>
        <w:t xml:space="preserve"> Students are responsible for all class material covered until</w:t>
      </w:r>
      <w:r w:rsidR="009562DE">
        <w:rPr>
          <w:i/>
          <w:iCs/>
          <w:sz w:val="22"/>
          <w:szCs w:val="22"/>
        </w:rPr>
        <w:t xml:space="preserve"> the mid</w:t>
      </w:r>
      <w:r w:rsidRPr="0007279D">
        <w:rPr>
          <w:i/>
          <w:iCs/>
          <w:sz w:val="22"/>
          <w:szCs w:val="22"/>
        </w:rPr>
        <w:t>term exam.</w:t>
      </w:r>
    </w:p>
    <w:p w:rsidR="009562DE" w:rsidRDefault="009562DE" w:rsidP="0063291F">
      <w:pPr>
        <w:ind w:left="426"/>
        <w:rPr>
          <w:i/>
          <w:iCs/>
          <w:sz w:val="22"/>
          <w:szCs w:val="22"/>
        </w:rPr>
      </w:pPr>
      <w:r>
        <w:rPr>
          <w:b/>
          <w:i/>
          <w:iCs/>
          <w:sz w:val="22"/>
          <w:szCs w:val="22"/>
        </w:rPr>
        <w:t>Quiz</w:t>
      </w:r>
      <w:r w:rsidR="0007279D" w:rsidRPr="0007279D">
        <w:rPr>
          <w:b/>
          <w:i/>
          <w:iCs/>
          <w:sz w:val="22"/>
          <w:szCs w:val="22"/>
        </w:rPr>
        <w:t xml:space="preserve"> (</w:t>
      </w:r>
      <w:r>
        <w:rPr>
          <w:b/>
          <w:i/>
          <w:iCs/>
          <w:sz w:val="22"/>
          <w:szCs w:val="22"/>
        </w:rPr>
        <w:t>10</w:t>
      </w:r>
      <w:r w:rsidR="0007279D" w:rsidRPr="0007279D">
        <w:rPr>
          <w:b/>
          <w:i/>
          <w:iCs/>
          <w:sz w:val="22"/>
          <w:szCs w:val="22"/>
        </w:rPr>
        <w:t xml:space="preserve">%): </w:t>
      </w:r>
      <w:r>
        <w:rPr>
          <w:i/>
          <w:iCs/>
          <w:sz w:val="22"/>
          <w:szCs w:val="22"/>
        </w:rPr>
        <w:t>2 Quizzes each 5%</w:t>
      </w:r>
    </w:p>
    <w:p w:rsidR="009562DE" w:rsidRDefault="0007279D" w:rsidP="0063291F">
      <w:pPr>
        <w:ind w:left="426"/>
        <w:rPr>
          <w:sz w:val="22"/>
          <w:szCs w:val="22"/>
        </w:rPr>
      </w:pPr>
      <w:r w:rsidRPr="009562DE">
        <w:rPr>
          <w:b/>
          <w:i/>
          <w:iCs/>
          <w:sz w:val="22"/>
          <w:szCs w:val="22"/>
        </w:rPr>
        <w:t>Final exam (</w:t>
      </w:r>
      <w:r w:rsidR="002D39DF">
        <w:rPr>
          <w:b/>
          <w:i/>
          <w:iCs/>
          <w:sz w:val="22"/>
          <w:szCs w:val="22"/>
        </w:rPr>
        <w:t>4</w:t>
      </w:r>
      <w:r w:rsidRPr="009562DE">
        <w:rPr>
          <w:b/>
          <w:i/>
          <w:iCs/>
          <w:sz w:val="22"/>
          <w:szCs w:val="22"/>
        </w:rPr>
        <w:t>0%)</w:t>
      </w:r>
      <w:r w:rsidRPr="009562DE">
        <w:rPr>
          <w:i/>
          <w:iCs/>
          <w:sz w:val="22"/>
          <w:szCs w:val="22"/>
        </w:rPr>
        <w:t xml:space="preserve">: </w:t>
      </w:r>
      <w:r w:rsidR="000A5299">
        <w:rPr>
          <w:i/>
          <w:iCs/>
          <w:sz w:val="22"/>
          <w:szCs w:val="22"/>
        </w:rPr>
        <w:t xml:space="preserve"> The</w:t>
      </w:r>
      <w:r w:rsidRPr="009562DE">
        <w:rPr>
          <w:i/>
          <w:iCs/>
          <w:sz w:val="22"/>
          <w:szCs w:val="22"/>
        </w:rPr>
        <w:t xml:space="preserve"> exam is cumulative and will focus on all units and topics studied throughout the course, but </w:t>
      </w:r>
      <w:r w:rsidR="002D39DF">
        <w:rPr>
          <w:i/>
          <w:iCs/>
          <w:sz w:val="22"/>
          <w:szCs w:val="22"/>
        </w:rPr>
        <w:t xml:space="preserve">more </w:t>
      </w:r>
      <w:r w:rsidRPr="009562DE">
        <w:rPr>
          <w:i/>
          <w:iCs/>
          <w:sz w:val="22"/>
          <w:szCs w:val="22"/>
        </w:rPr>
        <w:t xml:space="preserve">emphasis will be </w:t>
      </w:r>
      <w:r w:rsidR="002D39DF">
        <w:rPr>
          <w:i/>
          <w:iCs/>
          <w:sz w:val="22"/>
          <w:szCs w:val="22"/>
        </w:rPr>
        <w:t xml:space="preserve">on the subjects </w:t>
      </w:r>
      <w:r w:rsidRPr="009562DE">
        <w:rPr>
          <w:i/>
          <w:iCs/>
          <w:sz w:val="22"/>
          <w:szCs w:val="22"/>
        </w:rPr>
        <w:t xml:space="preserve">after </w:t>
      </w:r>
      <w:r w:rsidR="002D39DF">
        <w:rPr>
          <w:i/>
          <w:iCs/>
          <w:sz w:val="22"/>
          <w:szCs w:val="22"/>
        </w:rPr>
        <w:t xml:space="preserve">the </w:t>
      </w:r>
      <w:r w:rsidRPr="009562DE">
        <w:rPr>
          <w:i/>
          <w:iCs/>
          <w:sz w:val="22"/>
          <w:szCs w:val="22"/>
        </w:rPr>
        <w:t>midterm</w:t>
      </w:r>
      <w:r w:rsidR="002D39DF">
        <w:rPr>
          <w:i/>
          <w:iCs/>
          <w:sz w:val="22"/>
          <w:szCs w:val="22"/>
        </w:rPr>
        <w:t xml:space="preserve"> </w:t>
      </w:r>
      <w:r w:rsidR="002D39DF" w:rsidRPr="002D39DF">
        <w:rPr>
          <w:i/>
          <w:iCs/>
          <w:sz w:val="22"/>
          <w:szCs w:val="22"/>
        </w:rPr>
        <w:t>exam</w:t>
      </w:r>
      <w:r w:rsidR="002D39DF">
        <w:rPr>
          <w:sz w:val="22"/>
          <w:szCs w:val="22"/>
        </w:rPr>
        <w:t>.</w:t>
      </w:r>
    </w:p>
    <w:p w:rsidR="0063291F" w:rsidRPr="00764E26" w:rsidRDefault="0063291F" w:rsidP="0063291F">
      <w:pPr>
        <w:ind w:left="720"/>
        <w:rPr>
          <w:rFonts w:asciiTheme="majorBidi" w:hAnsiTheme="majorBidi" w:cstheme="majorBidi"/>
          <w:i/>
          <w:iCs/>
          <w:sz w:val="22"/>
          <w:szCs w:val="22"/>
        </w:rPr>
      </w:pPr>
      <w:r w:rsidRPr="006868D2">
        <w:rPr>
          <w:rFonts w:asciiTheme="majorBidi" w:hAnsiTheme="majorBidi" w:cstheme="majorBidi"/>
          <w:b/>
          <w:bCs/>
          <w:i/>
          <w:iCs/>
          <w:sz w:val="22"/>
          <w:szCs w:val="22"/>
        </w:rPr>
        <w:t>Note</w:t>
      </w:r>
      <w:r>
        <w:rPr>
          <w:rFonts w:asciiTheme="majorBidi" w:hAnsiTheme="majorBidi" w:cstheme="majorBidi"/>
          <w:i/>
          <w:iCs/>
          <w:sz w:val="22"/>
          <w:szCs w:val="22"/>
        </w:rPr>
        <w:t>: The minimum passing score = 50%</w:t>
      </w:r>
    </w:p>
    <w:p w:rsidR="002D39DF" w:rsidRDefault="002D39DF" w:rsidP="002D39DF">
      <w:pPr>
        <w:ind w:left="720"/>
        <w:rPr>
          <w:sz w:val="22"/>
          <w:szCs w:val="2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1826"/>
        <w:gridCol w:w="7868"/>
        <w:gridCol w:w="206"/>
      </w:tblGrid>
      <w:tr w:rsidR="009562DE" w:rsidRPr="00BC569C" w:rsidTr="00384D01">
        <w:trPr>
          <w:gridAfter w:val="1"/>
          <w:wAfter w:w="206" w:type="dxa"/>
          <w:jc w:val="center"/>
        </w:trPr>
        <w:tc>
          <w:tcPr>
            <w:tcW w:w="10499" w:type="dxa"/>
            <w:gridSpan w:val="3"/>
          </w:tcPr>
          <w:p w:rsidR="009562DE" w:rsidRPr="009562DE" w:rsidRDefault="009562DE" w:rsidP="00BE7087">
            <w:pPr>
              <w:rPr>
                <w:rFonts w:asciiTheme="majorBidi" w:hAnsiTheme="majorBidi" w:cstheme="majorBidi"/>
                <w:b/>
                <w:i/>
                <w:iCs/>
                <w:sz w:val="22"/>
                <w:szCs w:val="22"/>
                <w:lang w:val="tr-TR"/>
              </w:rPr>
            </w:pPr>
            <w:r w:rsidRPr="009562DE">
              <w:rPr>
                <w:rFonts w:asciiTheme="majorBidi" w:hAnsiTheme="majorBidi" w:cstheme="majorBidi"/>
                <w:b/>
                <w:i/>
                <w:iCs/>
                <w:sz w:val="22"/>
                <w:szCs w:val="22"/>
                <w:lang w:val="tr-TR"/>
              </w:rPr>
              <w:lastRenderedPageBreak/>
              <w:t>Course outlines</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Week</w:t>
            </w:r>
          </w:p>
        </w:tc>
        <w:tc>
          <w:tcPr>
            <w:tcW w:w="9694" w:type="dxa"/>
            <w:gridSpan w:val="2"/>
          </w:tcPr>
          <w:p w:rsidR="009562DE" w:rsidRPr="00BC569C" w:rsidRDefault="009562DE" w:rsidP="00BE7087">
            <w:pPr>
              <w:rPr>
                <w:rFonts w:asciiTheme="majorBidi" w:hAnsiTheme="majorBidi" w:cstheme="majorBidi"/>
                <w:b/>
                <w:i/>
                <w:iCs/>
                <w:sz w:val="22"/>
                <w:szCs w:val="22"/>
                <w:lang w:val="tr-TR"/>
              </w:rPr>
            </w:pPr>
            <w:r w:rsidRPr="00BC569C">
              <w:rPr>
                <w:rFonts w:asciiTheme="majorBidi" w:hAnsiTheme="majorBidi" w:cstheme="majorBidi"/>
                <w:b/>
                <w:bCs/>
                <w:i/>
                <w:iCs/>
                <w:sz w:val="22"/>
                <w:szCs w:val="22"/>
              </w:rPr>
              <w:t>TOPIC</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Introduction, S</w:t>
            </w:r>
            <w:r>
              <w:rPr>
                <w:rFonts w:asciiTheme="majorBidi" w:hAnsiTheme="majorBidi" w:cstheme="majorBidi"/>
                <w:bCs/>
                <w:i/>
                <w:iCs/>
                <w:sz w:val="22"/>
                <w:szCs w:val="22"/>
              </w:rPr>
              <w:t xml:space="preserve">tatistics in Business, Tourism, </w:t>
            </w:r>
            <w:r w:rsidRPr="00BC569C">
              <w:rPr>
                <w:rFonts w:asciiTheme="majorBidi" w:hAnsiTheme="majorBidi" w:cstheme="majorBidi"/>
                <w:bCs/>
                <w:i/>
                <w:iCs/>
                <w:sz w:val="22"/>
                <w:szCs w:val="22"/>
              </w:rPr>
              <w:t>etc. Basic Statistical Concepts. Using Ms. Excel.</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2</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 xml:space="preserve">Defining and </w:t>
            </w:r>
            <w:r w:rsidRPr="00BC569C">
              <w:rPr>
                <w:rFonts w:asciiTheme="majorBidi" w:hAnsiTheme="majorBidi" w:cstheme="majorBidi"/>
                <w:i/>
                <w:iCs/>
                <w:sz w:val="22"/>
                <w:szCs w:val="22"/>
              </w:rPr>
              <w:t xml:space="preserve">Collecting </w:t>
            </w:r>
            <w:r w:rsidRPr="00BC569C">
              <w:rPr>
                <w:rFonts w:asciiTheme="majorBidi" w:hAnsiTheme="majorBidi" w:cstheme="majorBidi"/>
                <w:bCs/>
                <w:i/>
                <w:iCs/>
                <w:sz w:val="22"/>
                <w:szCs w:val="22"/>
              </w:rPr>
              <w:t>Data,</w:t>
            </w:r>
            <w:r>
              <w:rPr>
                <w:rFonts w:asciiTheme="majorBidi" w:hAnsiTheme="majorBidi" w:cstheme="majorBidi"/>
                <w:bCs/>
                <w:i/>
                <w:iCs/>
                <w:sz w:val="22"/>
                <w:szCs w:val="22"/>
              </w:rPr>
              <w:t xml:space="preserve"> Ch</w:t>
            </w:r>
            <w:r w:rsidRPr="00BC569C">
              <w:rPr>
                <w:rFonts w:asciiTheme="majorBidi" w:hAnsiTheme="majorBidi" w:cstheme="majorBidi"/>
                <w:bCs/>
                <w:i/>
                <w:iCs/>
                <w:sz w:val="22"/>
                <w:szCs w:val="22"/>
              </w:rPr>
              <w:t>. 1, p. 41-49. Using Excel.</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3</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 xml:space="preserve">Defining and </w:t>
            </w:r>
            <w:r w:rsidRPr="00BC569C">
              <w:rPr>
                <w:rFonts w:asciiTheme="majorBidi" w:hAnsiTheme="majorBidi" w:cstheme="majorBidi"/>
                <w:i/>
                <w:iCs/>
                <w:sz w:val="22"/>
                <w:szCs w:val="22"/>
              </w:rPr>
              <w:t xml:space="preserve">Collecting </w:t>
            </w:r>
            <w:r w:rsidRPr="00BC569C">
              <w:rPr>
                <w:rFonts w:asciiTheme="majorBidi" w:hAnsiTheme="majorBidi" w:cstheme="majorBidi"/>
                <w:bCs/>
                <w:i/>
                <w:iCs/>
                <w:sz w:val="22"/>
                <w:szCs w:val="22"/>
              </w:rPr>
              <w:t xml:space="preserve">Data, Ch. 1, p. 50-59. </w:t>
            </w:r>
          </w:p>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Case</w:t>
            </w:r>
            <w:r>
              <w:rPr>
                <w:rFonts w:asciiTheme="majorBidi" w:hAnsiTheme="majorBidi" w:cstheme="majorBidi"/>
                <w:bCs/>
                <w:i/>
                <w:iCs/>
                <w:sz w:val="22"/>
                <w:szCs w:val="22"/>
              </w:rPr>
              <w:t xml:space="preserve"> study: Clear Mountain State Student Surveys</w:t>
            </w:r>
          </w:p>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Using Excel.</w:t>
            </w:r>
          </w:p>
        </w:tc>
      </w:tr>
      <w:tr w:rsidR="009562DE" w:rsidRPr="00BC569C" w:rsidTr="00384D01">
        <w:trPr>
          <w:gridAfter w:val="1"/>
          <w:wAfter w:w="206" w:type="dxa"/>
          <w:trHeight w:val="215"/>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4</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Organizing</w:t>
            </w:r>
            <w:r>
              <w:rPr>
                <w:rFonts w:asciiTheme="majorBidi" w:hAnsiTheme="majorBidi" w:cstheme="majorBidi"/>
                <w:bCs/>
                <w:i/>
                <w:iCs/>
                <w:sz w:val="22"/>
                <w:szCs w:val="22"/>
              </w:rPr>
              <w:t xml:space="preserve"> and</w:t>
            </w:r>
            <w:r w:rsidRPr="00BC569C">
              <w:rPr>
                <w:rFonts w:asciiTheme="majorBidi" w:hAnsiTheme="majorBidi" w:cstheme="majorBidi"/>
                <w:bCs/>
                <w:i/>
                <w:iCs/>
                <w:sz w:val="22"/>
                <w:szCs w:val="22"/>
              </w:rPr>
              <w:t xml:space="preserve"> </w:t>
            </w:r>
            <w:r>
              <w:rPr>
                <w:rFonts w:asciiTheme="majorBidi" w:hAnsiTheme="majorBidi" w:cstheme="majorBidi"/>
                <w:bCs/>
                <w:i/>
                <w:iCs/>
                <w:sz w:val="22"/>
                <w:szCs w:val="22"/>
              </w:rPr>
              <w:t>Visualizing</w:t>
            </w:r>
            <w:r w:rsidRPr="00BC569C">
              <w:rPr>
                <w:rFonts w:asciiTheme="majorBidi" w:hAnsiTheme="majorBidi" w:cstheme="majorBidi"/>
                <w:bCs/>
                <w:i/>
                <w:iCs/>
                <w:sz w:val="22"/>
                <w:szCs w:val="22"/>
              </w:rPr>
              <w:t xml:space="preserve"> Variables.</w:t>
            </w:r>
            <w:r>
              <w:rPr>
                <w:rFonts w:asciiTheme="majorBidi" w:hAnsiTheme="majorBidi" w:cstheme="majorBidi"/>
                <w:bCs/>
                <w:i/>
                <w:iCs/>
                <w:sz w:val="22"/>
                <w:szCs w:val="22"/>
              </w:rPr>
              <w:t xml:space="preserve"> Ch.2, p. 64-74, </w:t>
            </w:r>
            <w:r w:rsidRPr="00BC569C">
              <w:rPr>
                <w:rFonts w:asciiTheme="majorBidi" w:hAnsiTheme="majorBidi" w:cstheme="majorBidi"/>
                <w:i/>
                <w:iCs/>
                <w:sz w:val="22"/>
                <w:szCs w:val="22"/>
              </w:rPr>
              <w:t xml:space="preserve"> </w:t>
            </w:r>
            <w:r w:rsidRPr="00BC569C">
              <w:rPr>
                <w:rFonts w:asciiTheme="majorBidi" w:hAnsiTheme="majorBidi" w:cstheme="majorBidi"/>
                <w:bCs/>
                <w:i/>
                <w:iCs/>
                <w:sz w:val="22"/>
                <w:szCs w:val="22"/>
              </w:rPr>
              <w:t>Using Excel</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5</w:t>
            </w:r>
          </w:p>
        </w:tc>
        <w:tc>
          <w:tcPr>
            <w:tcW w:w="9694" w:type="dxa"/>
            <w:gridSpan w:val="2"/>
          </w:tcPr>
          <w:p w:rsidR="009562DE"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Organizing</w:t>
            </w:r>
            <w:r>
              <w:rPr>
                <w:rFonts w:asciiTheme="majorBidi" w:hAnsiTheme="majorBidi" w:cstheme="majorBidi"/>
                <w:bCs/>
                <w:i/>
                <w:iCs/>
                <w:sz w:val="22"/>
                <w:szCs w:val="22"/>
              </w:rPr>
              <w:t xml:space="preserve"> and</w:t>
            </w:r>
            <w:r w:rsidRPr="00BC569C">
              <w:rPr>
                <w:rFonts w:asciiTheme="majorBidi" w:hAnsiTheme="majorBidi" w:cstheme="majorBidi"/>
                <w:bCs/>
                <w:i/>
                <w:iCs/>
                <w:sz w:val="22"/>
                <w:szCs w:val="22"/>
              </w:rPr>
              <w:t xml:space="preserve"> </w:t>
            </w:r>
            <w:r>
              <w:rPr>
                <w:rFonts w:asciiTheme="majorBidi" w:hAnsiTheme="majorBidi" w:cstheme="majorBidi"/>
                <w:bCs/>
                <w:i/>
                <w:iCs/>
                <w:sz w:val="22"/>
                <w:szCs w:val="22"/>
              </w:rPr>
              <w:t>Visualizing</w:t>
            </w:r>
            <w:r w:rsidRPr="00BC569C">
              <w:rPr>
                <w:rFonts w:asciiTheme="majorBidi" w:hAnsiTheme="majorBidi" w:cstheme="majorBidi"/>
                <w:bCs/>
                <w:i/>
                <w:iCs/>
                <w:sz w:val="22"/>
                <w:szCs w:val="22"/>
              </w:rPr>
              <w:t xml:space="preserve"> Variables.</w:t>
            </w:r>
            <w:r>
              <w:rPr>
                <w:rFonts w:asciiTheme="majorBidi" w:hAnsiTheme="majorBidi" w:cstheme="majorBidi"/>
                <w:bCs/>
                <w:i/>
                <w:iCs/>
                <w:sz w:val="22"/>
                <w:szCs w:val="22"/>
              </w:rPr>
              <w:t xml:space="preserve"> Ch.2, p. 75-111, </w:t>
            </w:r>
            <w:r w:rsidRPr="00BC569C">
              <w:rPr>
                <w:rFonts w:asciiTheme="majorBidi" w:hAnsiTheme="majorBidi" w:cstheme="majorBidi"/>
                <w:bCs/>
                <w:i/>
                <w:iCs/>
                <w:sz w:val="22"/>
                <w:szCs w:val="22"/>
              </w:rPr>
              <w:t>Using Excel</w:t>
            </w:r>
          </w:p>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Case: Managing Ashland Multicomm Services</w:t>
            </w:r>
            <w:r w:rsidRPr="00BC569C">
              <w:rPr>
                <w:rFonts w:asciiTheme="majorBidi" w:hAnsiTheme="majorBidi" w:cstheme="majorBidi"/>
                <w:i/>
                <w:iCs/>
                <w:sz w:val="22"/>
                <w:szCs w:val="22"/>
              </w:rPr>
              <w:t xml:space="preserve"> </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6</w:t>
            </w:r>
          </w:p>
        </w:tc>
        <w:tc>
          <w:tcPr>
            <w:tcW w:w="9694" w:type="dxa"/>
            <w:gridSpan w:val="2"/>
          </w:tcPr>
          <w:p w:rsidR="009562DE"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Numerical Descriptive Measures: Central Tendency, Variation and Shape. Using Excel.</w:t>
            </w:r>
          </w:p>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Ch. 3, p.129-141</w:t>
            </w:r>
          </w:p>
        </w:tc>
      </w:tr>
      <w:tr w:rsidR="009562DE" w:rsidRPr="00BC569C" w:rsidTr="00384D01">
        <w:trPr>
          <w:gridAfter w:val="1"/>
          <w:wAfter w:w="206" w:type="dxa"/>
          <w:jc w:val="center"/>
        </w:trPr>
        <w:tc>
          <w:tcPr>
            <w:tcW w:w="805" w:type="dxa"/>
            <w:tcBorders>
              <w:top w:val="single" w:sz="4" w:space="0" w:color="auto"/>
              <w:left w:val="single" w:sz="4" w:space="0" w:color="auto"/>
              <w:bottom w:val="single" w:sz="4" w:space="0" w:color="auto"/>
              <w:right w:val="single" w:sz="4" w:space="0" w:color="auto"/>
            </w:tcBorders>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7</w:t>
            </w:r>
          </w:p>
        </w:tc>
        <w:tc>
          <w:tcPr>
            <w:tcW w:w="9694" w:type="dxa"/>
            <w:gridSpan w:val="2"/>
            <w:tcBorders>
              <w:top w:val="single" w:sz="4" w:space="0" w:color="auto"/>
              <w:left w:val="single" w:sz="4" w:space="0" w:color="auto"/>
              <w:bottom w:val="single" w:sz="4" w:space="0" w:color="auto"/>
              <w:right w:val="single" w:sz="4" w:space="0" w:color="auto"/>
            </w:tcBorders>
          </w:tcPr>
          <w:p w:rsidR="009562DE" w:rsidRDefault="009562DE" w:rsidP="00BE7087">
            <w:pPr>
              <w:autoSpaceDE w:val="0"/>
              <w:autoSpaceDN w:val="0"/>
              <w:adjustRightInd w:val="0"/>
              <w:jc w:val="both"/>
              <w:rPr>
                <w:rFonts w:asciiTheme="majorBidi" w:hAnsiTheme="majorBidi" w:cstheme="majorBidi"/>
                <w:bCs/>
                <w:i/>
                <w:iCs/>
                <w:sz w:val="22"/>
                <w:szCs w:val="22"/>
              </w:rPr>
            </w:pPr>
            <w:r w:rsidRPr="00BC569C">
              <w:rPr>
                <w:rFonts w:asciiTheme="majorBidi" w:hAnsiTheme="majorBidi" w:cstheme="majorBidi"/>
                <w:bCs/>
                <w:i/>
                <w:iCs/>
                <w:sz w:val="22"/>
                <w:szCs w:val="22"/>
              </w:rPr>
              <w:t>Numerical Descriptive Measures: Central Tendency, Variation and Shape. Using Excel.</w:t>
            </w:r>
          </w:p>
          <w:p w:rsidR="009562DE"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Ch. 3, p.142-168</w:t>
            </w:r>
          </w:p>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Case Study</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8</w:t>
            </w:r>
          </w:p>
        </w:tc>
        <w:tc>
          <w:tcPr>
            <w:tcW w:w="9694" w:type="dxa"/>
            <w:gridSpan w:val="2"/>
          </w:tcPr>
          <w:p w:rsidR="009562DE" w:rsidRPr="00BC569C" w:rsidRDefault="009562DE" w:rsidP="00BE7087">
            <w:pPr>
              <w:pStyle w:val="MetindersierikleriChar"/>
              <w:rPr>
                <w:rFonts w:asciiTheme="majorBidi" w:hAnsiTheme="majorBidi" w:cstheme="majorBidi"/>
                <w:sz w:val="22"/>
                <w:szCs w:val="22"/>
              </w:rPr>
            </w:pPr>
            <w:r w:rsidRPr="00BC569C">
              <w:rPr>
                <w:rFonts w:asciiTheme="majorBidi" w:hAnsiTheme="majorBidi" w:cstheme="majorBidi"/>
                <w:b/>
                <w:bCs w:val="0"/>
                <w:sz w:val="22"/>
                <w:szCs w:val="22"/>
              </w:rPr>
              <w:t>Midterm Exam</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9</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 xml:space="preserve">Basic Probability. Ch. 4, p. 179-197, </w:t>
            </w:r>
            <w:r w:rsidRPr="00BC569C">
              <w:rPr>
                <w:rFonts w:asciiTheme="majorBidi" w:hAnsiTheme="majorBidi" w:cstheme="majorBidi"/>
                <w:bCs/>
                <w:i/>
                <w:iCs/>
                <w:sz w:val="22"/>
                <w:szCs w:val="22"/>
              </w:rPr>
              <w:t>Using Excel</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10</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The Normal Distribution and Other Continuous Distributions. Ch. 6, p. 247-265</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11</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Case Study</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12</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Fundamentals of Hypothesis Testing: One Sample Tests. Ch. 9</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13</w:t>
            </w:r>
          </w:p>
        </w:tc>
        <w:tc>
          <w:tcPr>
            <w:tcW w:w="9694" w:type="dxa"/>
            <w:gridSpan w:val="2"/>
          </w:tcPr>
          <w:p w:rsidR="009562DE" w:rsidRPr="00BC569C" w:rsidRDefault="009562DE" w:rsidP="00BE7087">
            <w:pPr>
              <w:autoSpaceDE w:val="0"/>
              <w:autoSpaceDN w:val="0"/>
              <w:adjustRightInd w:val="0"/>
              <w:jc w:val="both"/>
              <w:rPr>
                <w:rFonts w:asciiTheme="majorBidi" w:hAnsiTheme="majorBidi" w:cstheme="majorBidi"/>
                <w:bCs/>
                <w:i/>
                <w:iCs/>
                <w:sz w:val="22"/>
                <w:szCs w:val="22"/>
              </w:rPr>
            </w:pPr>
            <w:r>
              <w:rPr>
                <w:rFonts w:asciiTheme="majorBidi" w:hAnsiTheme="majorBidi" w:cstheme="majorBidi"/>
                <w:bCs/>
                <w:i/>
                <w:iCs/>
                <w:sz w:val="22"/>
                <w:szCs w:val="22"/>
              </w:rPr>
              <w:t>Fundamentals of Hypothesis Testing: One Sample Tests. Ch. 9</w:t>
            </w:r>
          </w:p>
        </w:tc>
      </w:tr>
      <w:tr w:rsidR="009562DE" w:rsidRPr="00BC569C" w:rsidTr="00384D01">
        <w:trPr>
          <w:gridAfter w:val="1"/>
          <w:wAfter w:w="206" w:type="dxa"/>
          <w:jc w:val="center"/>
        </w:trPr>
        <w:tc>
          <w:tcPr>
            <w:tcW w:w="805" w:type="dxa"/>
          </w:tcPr>
          <w:p w:rsidR="009562DE" w:rsidRPr="00BC569C" w:rsidRDefault="009562DE" w:rsidP="00BE7087">
            <w:pPr>
              <w:jc w:val="center"/>
              <w:rPr>
                <w:rFonts w:asciiTheme="majorBidi" w:hAnsiTheme="majorBidi" w:cstheme="majorBidi"/>
                <w:b/>
                <w:i/>
                <w:iCs/>
                <w:sz w:val="22"/>
                <w:szCs w:val="22"/>
                <w:lang w:val="tr-TR"/>
              </w:rPr>
            </w:pPr>
            <w:r w:rsidRPr="00BC569C">
              <w:rPr>
                <w:rFonts w:asciiTheme="majorBidi" w:hAnsiTheme="majorBidi" w:cstheme="majorBidi"/>
                <w:b/>
                <w:i/>
                <w:iCs/>
                <w:sz w:val="22"/>
                <w:szCs w:val="22"/>
                <w:lang w:val="tr-TR"/>
              </w:rPr>
              <w:t>14</w:t>
            </w:r>
          </w:p>
        </w:tc>
        <w:tc>
          <w:tcPr>
            <w:tcW w:w="9694" w:type="dxa"/>
            <w:gridSpan w:val="2"/>
          </w:tcPr>
          <w:p w:rsidR="009562DE" w:rsidRPr="00BC569C" w:rsidRDefault="009562DE" w:rsidP="00BE7087">
            <w:pPr>
              <w:pStyle w:val="MetindersierikleriChar"/>
              <w:rPr>
                <w:rFonts w:asciiTheme="majorBidi" w:hAnsiTheme="majorBidi" w:cstheme="majorBidi"/>
                <w:sz w:val="22"/>
                <w:szCs w:val="22"/>
              </w:rPr>
            </w:pPr>
            <w:r w:rsidRPr="00BC569C">
              <w:rPr>
                <w:rFonts w:asciiTheme="majorBidi" w:hAnsiTheme="majorBidi" w:cstheme="majorBidi"/>
                <w:sz w:val="22"/>
                <w:szCs w:val="22"/>
              </w:rPr>
              <w:t>Case Studies.</w:t>
            </w:r>
          </w:p>
        </w:tc>
      </w:tr>
      <w:tr w:rsidR="00384D01" w:rsidRPr="003F5920" w:rsidTr="00384D01">
        <w:trPr>
          <w:trHeight w:val="485"/>
          <w:jc w:val="center"/>
        </w:trPr>
        <w:tc>
          <w:tcPr>
            <w:tcW w:w="2631" w:type="dxa"/>
            <w:gridSpan w:val="2"/>
            <w:vAlign w:val="center"/>
          </w:tcPr>
          <w:p w:rsidR="00384D01" w:rsidRPr="003F5920" w:rsidRDefault="00384D01" w:rsidP="009565B9">
            <w:pPr>
              <w:rPr>
                <w:rFonts w:asciiTheme="majorBidi" w:hAnsiTheme="majorBidi" w:cstheme="majorBidi"/>
                <w:b/>
                <w:i/>
                <w:iCs/>
                <w:sz w:val="22"/>
                <w:szCs w:val="22"/>
                <w:lang w:val="tr-TR"/>
              </w:rPr>
            </w:pPr>
            <w:r w:rsidRPr="003F5920">
              <w:rPr>
                <w:rFonts w:asciiTheme="majorBidi" w:hAnsiTheme="majorBidi" w:cstheme="majorBidi"/>
                <w:b/>
                <w:i/>
                <w:iCs/>
                <w:sz w:val="22"/>
                <w:szCs w:val="22"/>
                <w:lang w:val="tr-TR"/>
              </w:rPr>
              <w:t>Usefull Websites</w:t>
            </w:r>
          </w:p>
        </w:tc>
        <w:tc>
          <w:tcPr>
            <w:tcW w:w="8074" w:type="dxa"/>
            <w:gridSpan w:val="2"/>
            <w:vAlign w:val="center"/>
          </w:tcPr>
          <w:p w:rsidR="00384D01" w:rsidRPr="0063291F" w:rsidRDefault="00A54FD0" w:rsidP="009565B9">
            <w:pPr>
              <w:jc w:val="lowKashida"/>
              <w:rPr>
                <w:rFonts w:asciiTheme="majorBidi" w:hAnsiTheme="majorBidi" w:cstheme="majorBidi"/>
                <w:i/>
                <w:iCs/>
                <w:sz w:val="22"/>
                <w:szCs w:val="22"/>
                <w:lang w:val="tr-TR"/>
              </w:rPr>
            </w:pPr>
            <w:hyperlink r:id="rId8" w:history="1">
              <w:r w:rsidR="00384D01" w:rsidRPr="0063291F">
                <w:rPr>
                  <w:rStyle w:val="Hyperlink"/>
                  <w:rFonts w:asciiTheme="majorBidi" w:hAnsiTheme="majorBidi" w:cstheme="majorBidi"/>
                  <w:i/>
                  <w:iCs/>
                  <w:sz w:val="22"/>
                  <w:szCs w:val="22"/>
                  <w:lang w:val="tr-TR"/>
                </w:rPr>
                <w:t>http://wps.prenhall.com/bp_berenson_bbs_12/</w:t>
              </w:r>
            </w:hyperlink>
          </w:p>
          <w:p w:rsidR="00384D01" w:rsidRPr="003F5920" w:rsidRDefault="00384D01" w:rsidP="009565B9">
            <w:pPr>
              <w:jc w:val="lowKashida"/>
              <w:rPr>
                <w:rFonts w:asciiTheme="majorBidi" w:hAnsiTheme="majorBidi" w:cstheme="majorBidi"/>
                <w:i/>
                <w:iCs/>
                <w:color w:val="000000"/>
                <w:sz w:val="22"/>
                <w:szCs w:val="22"/>
                <w:shd w:val="clear" w:color="auto" w:fill="F0F0F0"/>
              </w:rPr>
            </w:pPr>
            <w:r w:rsidRPr="003F5920">
              <w:rPr>
                <w:rFonts w:asciiTheme="majorBidi" w:hAnsiTheme="majorBidi" w:cstheme="majorBidi"/>
                <w:i/>
                <w:iCs/>
                <w:color w:val="000000"/>
                <w:sz w:val="22"/>
                <w:szCs w:val="22"/>
                <w:shd w:val="clear" w:color="auto" w:fill="F0F0F0"/>
              </w:rPr>
              <w:t>Visit the above website and download the Excel Data Files.</w:t>
            </w:r>
          </w:p>
          <w:p w:rsidR="00384D01" w:rsidRPr="003F5920" w:rsidRDefault="00384D01" w:rsidP="009565B9">
            <w:pPr>
              <w:jc w:val="lowKashida"/>
              <w:rPr>
                <w:rFonts w:asciiTheme="majorBidi" w:hAnsiTheme="majorBidi" w:cstheme="majorBidi"/>
                <w:i/>
                <w:iCs/>
                <w:sz w:val="22"/>
                <w:szCs w:val="22"/>
              </w:rPr>
            </w:pPr>
            <w:r w:rsidRPr="003F5920">
              <w:rPr>
                <w:rFonts w:asciiTheme="majorBidi" w:hAnsiTheme="majorBidi" w:cstheme="majorBidi"/>
                <w:i/>
                <w:iCs/>
                <w:color w:val="000000"/>
                <w:sz w:val="22"/>
                <w:szCs w:val="22"/>
                <w:shd w:val="clear" w:color="auto" w:fill="F0F0F0"/>
              </w:rPr>
              <w:t>You will find various resources for the course.</w:t>
            </w:r>
          </w:p>
        </w:tc>
      </w:tr>
      <w:tr w:rsidR="00384D01" w:rsidRPr="003F5920" w:rsidTr="00384D01">
        <w:trPr>
          <w:trHeight w:val="485"/>
          <w:jc w:val="center"/>
        </w:trPr>
        <w:tc>
          <w:tcPr>
            <w:tcW w:w="2631" w:type="dxa"/>
            <w:gridSpan w:val="2"/>
          </w:tcPr>
          <w:p w:rsidR="00384D01" w:rsidRPr="003F5920" w:rsidRDefault="00384D01" w:rsidP="009565B9">
            <w:pPr>
              <w:rPr>
                <w:rFonts w:asciiTheme="majorBidi" w:hAnsiTheme="majorBidi" w:cstheme="majorBidi"/>
                <w:i/>
                <w:iCs/>
                <w:sz w:val="22"/>
                <w:szCs w:val="22"/>
              </w:rPr>
            </w:pPr>
            <w:r w:rsidRPr="003F5920">
              <w:rPr>
                <w:rFonts w:asciiTheme="majorBidi" w:hAnsiTheme="majorBidi" w:cstheme="majorBidi"/>
                <w:b/>
                <w:bCs/>
                <w:i/>
                <w:iCs/>
                <w:sz w:val="22"/>
                <w:szCs w:val="22"/>
              </w:rPr>
              <w:t>Calculators</w:t>
            </w:r>
            <w:r w:rsidRPr="003F5920">
              <w:rPr>
                <w:rFonts w:asciiTheme="majorBidi" w:hAnsiTheme="majorBidi" w:cstheme="majorBidi"/>
                <w:i/>
                <w:iCs/>
                <w:sz w:val="22"/>
                <w:szCs w:val="22"/>
              </w:rPr>
              <w:t xml:space="preserve">: </w:t>
            </w:r>
          </w:p>
        </w:tc>
        <w:tc>
          <w:tcPr>
            <w:tcW w:w="8074" w:type="dxa"/>
            <w:gridSpan w:val="2"/>
          </w:tcPr>
          <w:p w:rsidR="00384D01" w:rsidRPr="003F5920" w:rsidRDefault="00384D01" w:rsidP="009565B9">
            <w:pPr>
              <w:jc w:val="lowKashida"/>
              <w:rPr>
                <w:rFonts w:asciiTheme="majorBidi" w:hAnsiTheme="majorBidi" w:cstheme="majorBidi"/>
                <w:i/>
                <w:iCs/>
                <w:sz w:val="22"/>
                <w:szCs w:val="22"/>
              </w:rPr>
            </w:pPr>
            <w:r w:rsidRPr="003F5920">
              <w:rPr>
                <w:rFonts w:asciiTheme="majorBidi" w:hAnsiTheme="majorBidi" w:cstheme="majorBidi"/>
                <w:i/>
                <w:iCs/>
                <w:sz w:val="22"/>
                <w:szCs w:val="22"/>
              </w:rPr>
              <w:t xml:space="preserve">Students will need a photo ID on test days. Students may only use standard/basic, scientific, or graphing calculators. Cell phones and all other WiFi enabled devices are prohibited during exams. They are not allowed out of your bag during exams. </w:t>
            </w:r>
          </w:p>
        </w:tc>
      </w:tr>
      <w:tr w:rsidR="00384D01" w:rsidRPr="003F5920" w:rsidTr="00384D01">
        <w:trPr>
          <w:trHeight w:val="485"/>
          <w:jc w:val="center"/>
        </w:trPr>
        <w:tc>
          <w:tcPr>
            <w:tcW w:w="2631" w:type="dxa"/>
            <w:gridSpan w:val="2"/>
          </w:tcPr>
          <w:p w:rsidR="00384D01" w:rsidRPr="003F5920" w:rsidRDefault="00384D01" w:rsidP="009565B9">
            <w:pPr>
              <w:rPr>
                <w:rFonts w:asciiTheme="majorBidi" w:hAnsiTheme="majorBidi" w:cstheme="majorBidi"/>
                <w:b/>
                <w:bCs/>
                <w:i/>
                <w:iCs/>
                <w:sz w:val="22"/>
                <w:szCs w:val="22"/>
              </w:rPr>
            </w:pPr>
            <w:r w:rsidRPr="003F5920">
              <w:rPr>
                <w:rFonts w:asciiTheme="majorBidi" w:hAnsiTheme="majorBidi" w:cstheme="majorBidi"/>
                <w:b/>
                <w:bCs/>
                <w:i/>
                <w:iCs/>
                <w:sz w:val="22"/>
                <w:szCs w:val="22"/>
              </w:rPr>
              <w:t xml:space="preserve">Tech Usage: </w:t>
            </w:r>
          </w:p>
        </w:tc>
        <w:tc>
          <w:tcPr>
            <w:tcW w:w="8074" w:type="dxa"/>
            <w:gridSpan w:val="2"/>
          </w:tcPr>
          <w:p w:rsidR="00384D01" w:rsidRPr="003F5920" w:rsidRDefault="00384D01" w:rsidP="00D72CCE">
            <w:pPr>
              <w:jc w:val="lowKashida"/>
              <w:rPr>
                <w:rFonts w:asciiTheme="majorBidi" w:hAnsiTheme="majorBidi" w:cstheme="majorBidi"/>
                <w:i/>
                <w:iCs/>
                <w:sz w:val="22"/>
                <w:szCs w:val="22"/>
              </w:rPr>
            </w:pPr>
            <w:r w:rsidRPr="003F5920">
              <w:rPr>
                <w:rFonts w:asciiTheme="majorBidi" w:hAnsiTheme="majorBidi" w:cstheme="majorBidi"/>
                <w:i/>
                <w:iCs/>
                <w:sz w:val="22"/>
                <w:szCs w:val="22"/>
              </w:rPr>
              <w:t xml:space="preserve">Laptops, tablets, phones, and other digital devices are </w:t>
            </w:r>
            <w:r w:rsidR="00D72CCE" w:rsidRPr="003F5920">
              <w:rPr>
                <w:rFonts w:asciiTheme="majorBidi" w:hAnsiTheme="majorBidi" w:cstheme="majorBidi"/>
                <w:i/>
                <w:iCs/>
                <w:sz w:val="22"/>
                <w:szCs w:val="22"/>
              </w:rPr>
              <w:t>disturbing</w:t>
            </w:r>
            <w:r w:rsidRPr="003F5920">
              <w:rPr>
                <w:rFonts w:asciiTheme="majorBidi" w:hAnsiTheme="majorBidi" w:cstheme="majorBidi"/>
                <w:i/>
                <w:iCs/>
                <w:sz w:val="22"/>
                <w:szCs w:val="22"/>
              </w:rPr>
              <w:t xml:space="preserve"> you and also dist</w:t>
            </w:r>
            <w:r w:rsidR="00D72CCE">
              <w:rPr>
                <w:rFonts w:asciiTheme="majorBidi" w:hAnsiTheme="majorBidi" w:cstheme="majorBidi"/>
                <w:i/>
                <w:iCs/>
                <w:sz w:val="22"/>
                <w:szCs w:val="22"/>
              </w:rPr>
              <w:t>u</w:t>
            </w:r>
            <w:r w:rsidRPr="003F5920">
              <w:rPr>
                <w:rFonts w:asciiTheme="majorBidi" w:hAnsiTheme="majorBidi" w:cstheme="majorBidi"/>
                <w:i/>
                <w:iCs/>
                <w:sz w:val="22"/>
                <w:szCs w:val="22"/>
              </w:rPr>
              <w:t>r</w:t>
            </w:r>
            <w:r w:rsidR="00D72CCE">
              <w:rPr>
                <w:rFonts w:asciiTheme="majorBidi" w:hAnsiTheme="majorBidi" w:cstheme="majorBidi"/>
                <w:i/>
                <w:iCs/>
                <w:sz w:val="22"/>
                <w:szCs w:val="22"/>
              </w:rPr>
              <w:t>b</w:t>
            </w:r>
            <w:r w:rsidRPr="003F5920">
              <w:rPr>
                <w:rFonts w:asciiTheme="majorBidi" w:hAnsiTheme="majorBidi" w:cstheme="majorBidi"/>
                <w:i/>
                <w:iCs/>
                <w:sz w:val="22"/>
                <w:szCs w:val="22"/>
              </w:rPr>
              <w:t xml:space="preserve"> others sitting nearby. As a result, I ask that you choose to occupy a seat in the last two rows of class if you plan to use one of these devices during lecture. Please do not record our lectures, photos are forbidden too. Also, try to remember to keep phones on silent during class.</w:t>
            </w:r>
          </w:p>
        </w:tc>
      </w:tr>
    </w:tbl>
    <w:p w:rsidR="009562DE" w:rsidRPr="0082001F" w:rsidRDefault="0082001F" w:rsidP="0082001F">
      <w:pPr>
        <w:rPr>
          <w:rFonts w:asciiTheme="majorBidi" w:hAnsiTheme="majorBidi" w:cstheme="majorBidi"/>
          <w:b/>
          <w:i/>
          <w:iCs/>
          <w:sz w:val="22"/>
          <w:szCs w:val="22"/>
        </w:rPr>
      </w:pPr>
      <w:r w:rsidRPr="00A34C0E">
        <w:rPr>
          <w:rFonts w:asciiTheme="majorBidi" w:hAnsiTheme="majorBidi" w:cstheme="majorBidi"/>
          <w:b/>
          <w:i/>
          <w:iCs/>
          <w:sz w:val="22"/>
          <w:szCs w:val="22"/>
        </w:rPr>
        <w:t>Note: I reserve the right to make changes to the syllabus.</w:t>
      </w:r>
    </w:p>
    <w:sectPr w:rsidR="009562DE" w:rsidRPr="0082001F" w:rsidSect="0063291F">
      <w:footerReference w:type="default" r:id="rId9"/>
      <w:pgSz w:w="12240" w:h="15840" w:code="1"/>
      <w:pgMar w:top="1134" w:right="1440"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FD0" w:rsidRDefault="00A54FD0" w:rsidP="00893994">
      <w:r>
        <w:separator/>
      </w:r>
    </w:p>
  </w:endnote>
  <w:endnote w:type="continuationSeparator" w:id="0">
    <w:p w:rsidR="00A54FD0" w:rsidRDefault="00A54FD0" w:rsidP="008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96243"/>
      <w:docPartObj>
        <w:docPartGallery w:val="Page Numbers (Bottom of Page)"/>
        <w:docPartUnique/>
      </w:docPartObj>
    </w:sdtPr>
    <w:sdtEndPr>
      <w:rPr>
        <w:noProof/>
      </w:rPr>
    </w:sdtEndPr>
    <w:sdtContent>
      <w:p w:rsidR="0063291F" w:rsidRDefault="0063291F" w:rsidP="0063291F">
        <w:pPr>
          <w:pStyle w:val="Footer"/>
        </w:pPr>
      </w:p>
      <w:p w:rsidR="0063291F" w:rsidRDefault="0063291F" w:rsidP="0063291F">
        <w:pPr>
          <w:pStyle w:val="Footer"/>
        </w:pPr>
      </w:p>
      <w:p w:rsidR="0063291F" w:rsidRPr="0063291F" w:rsidRDefault="0063291F" w:rsidP="0063291F">
        <w:pPr>
          <w:pStyle w:val="Footer"/>
          <w:rPr>
            <w:sz w:val="20"/>
            <w:szCs w:val="20"/>
          </w:rPr>
        </w:pPr>
        <w:r w:rsidRPr="0063291F">
          <w:rPr>
            <w:sz w:val="20"/>
            <w:szCs w:val="20"/>
          </w:rPr>
          <w:t>Form No: ÜY-FR-0627 Yayın Tarihi:03.05.2018 Değ.No:0 Değ. Tarihi:-</w:t>
        </w:r>
      </w:p>
      <w:p w:rsidR="00893994" w:rsidRDefault="00893994">
        <w:pPr>
          <w:pStyle w:val="Footer"/>
          <w:jc w:val="right"/>
        </w:pPr>
        <w:r>
          <w:fldChar w:fldCharType="begin"/>
        </w:r>
        <w:r>
          <w:instrText xml:space="preserve"> PAGE   \* MERGEFORMAT </w:instrText>
        </w:r>
        <w:r>
          <w:fldChar w:fldCharType="separate"/>
        </w:r>
        <w:r w:rsidR="00FA482E">
          <w:rPr>
            <w:noProof/>
          </w:rPr>
          <w:t>2</w:t>
        </w:r>
        <w:r>
          <w:rPr>
            <w:noProof/>
          </w:rPr>
          <w:fldChar w:fldCharType="end"/>
        </w:r>
      </w:p>
    </w:sdtContent>
  </w:sdt>
  <w:p w:rsidR="00893994" w:rsidRDefault="00893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FD0" w:rsidRDefault="00A54FD0" w:rsidP="00893994">
      <w:r>
        <w:separator/>
      </w:r>
    </w:p>
  </w:footnote>
  <w:footnote w:type="continuationSeparator" w:id="0">
    <w:p w:rsidR="00A54FD0" w:rsidRDefault="00A54FD0" w:rsidP="008939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541A1"/>
    <w:multiLevelType w:val="hybridMultilevel"/>
    <w:tmpl w:val="04BCFA52"/>
    <w:lvl w:ilvl="0" w:tplc="6204A7C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32"/>
    <w:rsid w:val="000139C2"/>
    <w:rsid w:val="00052AA3"/>
    <w:rsid w:val="0007279D"/>
    <w:rsid w:val="000A5299"/>
    <w:rsid w:val="000F1732"/>
    <w:rsid w:val="00185C20"/>
    <w:rsid w:val="001A01C7"/>
    <w:rsid w:val="002D39DF"/>
    <w:rsid w:val="002F65F2"/>
    <w:rsid w:val="00384D01"/>
    <w:rsid w:val="005654E4"/>
    <w:rsid w:val="005839DB"/>
    <w:rsid w:val="0063291F"/>
    <w:rsid w:val="007252E4"/>
    <w:rsid w:val="00787ADA"/>
    <w:rsid w:val="0082001F"/>
    <w:rsid w:val="00893994"/>
    <w:rsid w:val="009562DE"/>
    <w:rsid w:val="00987FBE"/>
    <w:rsid w:val="009B756B"/>
    <w:rsid w:val="00A54FD0"/>
    <w:rsid w:val="00AE1B98"/>
    <w:rsid w:val="00B93B86"/>
    <w:rsid w:val="00BF47B6"/>
    <w:rsid w:val="00D72CCE"/>
    <w:rsid w:val="00EA242D"/>
    <w:rsid w:val="00EA7A17"/>
    <w:rsid w:val="00EC384A"/>
    <w:rsid w:val="00ED0FA2"/>
    <w:rsid w:val="00FA482E"/>
    <w:rsid w:val="00FC0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B4317-90C8-47FF-90C4-ECDE62BF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73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732"/>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EA7A17"/>
    <w:rPr>
      <w:color w:val="0563C1" w:themeColor="hyperlink"/>
      <w:u w:val="single"/>
    </w:rPr>
  </w:style>
  <w:style w:type="paragraph" w:styleId="ListParagraph">
    <w:name w:val="List Paragraph"/>
    <w:basedOn w:val="Normal"/>
    <w:uiPriority w:val="34"/>
    <w:qFormat/>
    <w:rsid w:val="0007279D"/>
    <w:pPr>
      <w:ind w:left="720"/>
      <w:contextualSpacing/>
    </w:pPr>
  </w:style>
  <w:style w:type="paragraph" w:customStyle="1" w:styleId="MetindersierikleriChar">
    <w:name w:val="Metin ders içerikleri Char"/>
    <w:basedOn w:val="NormalWeb"/>
    <w:link w:val="MetindersierikleriCharChar"/>
    <w:autoRedefine/>
    <w:rsid w:val="009562DE"/>
    <w:pPr>
      <w:jc w:val="both"/>
    </w:pPr>
    <w:rPr>
      <w:rFonts w:ascii="Arial" w:hAnsi="Arial" w:cs="Arial"/>
      <w:bCs/>
      <w:i/>
      <w:iCs/>
      <w:sz w:val="26"/>
      <w:szCs w:val="26"/>
      <w:lang w:val="en-GB" w:eastAsia="tr-TR"/>
    </w:rPr>
  </w:style>
  <w:style w:type="character" w:customStyle="1" w:styleId="MetindersierikleriCharChar">
    <w:name w:val="Metin ders içerikleri Char Char"/>
    <w:basedOn w:val="DefaultParagraphFont"/>
    <w:link w:val="MetindersierikleriChar"/>
    <w:rsid w:val="009562DE"/>
    <w:rPr>
      <w:rFonts w:ascii="Arial" w:eastAsia="Times New Roman" w:hAnsi="Arial" w:cs="Arial"/>
      <w:bCs/>
      <w:i/>
      <w:iCs/>
      <w:sz w:val="26"/>
      <w:szCs w:val="26"/>
      <w:lang w:val="en-GB" w:eastAsia="tr-TR"/>
    </w:rPr>
  </w:style>
  <w:style w:type="paragraph" w:styleId="NormalWeb">
    <w:name w:val="Normal (Web)"/>
    <w:basedOn w:val="Normal"/>
    <w:uiPriority w:val="99"/>
    <w:semiHidden/>
    <w:unhideWhenUsed/>
    <w:rsid w:val="009562DE"/>
  </w:style>
  <w:style w:type="paragraph" w:styleId="BalloonText">
    <w:name w:val="Balloon Text"/>
    <w:basedOn w:val="Normal"/>
    <w:link w:val="BalloonTextChar"/>
    <w:uiPriority w:val="99"/>
    <w:semiHidden/>
    <w:unhideWhenUsed/>
    <w:rsid w:val="0089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94"/>
    <w:rPr>
      <w:rFonts w:ascii="Segoe UI" w:eastAsia="Times New Roman" w:hAnsi="Segoe UI" w:cs="Segoe UI"/>
      <w:sz w:val="18"/>
      <w:szCs w:val="18"/>
    </w:rPr>
  </w:style>
  <w:style w:type="paragraph" w:styleId="Header">
    <w:name w:val="header"/>
    <w:basedOn w:val="Normal"/>
    <w:link w:val="HeaderChar"/>
    <w:uiPriority w:val="99"/>
    <w:unhideWhenUsed/>
    <w:rsid w:val="00893994"/>
    <w:pPr>
      <w:tabs>
        <w:tab w:val="center" w:pos="4680"/>
        <w:tab w:val="right" w:pos="9360"/>
      </w:tabs>
    </w:pPr>
  </w:style>
  <w:style w:type="character" w:customStyle="1" w:styleId="HeaderChar">
    <w:name w:val="Header Char"/>
    <w:basedOn w:val="DefaultParagraphFont"/>
    <w:link w:val="Header"/>
    <w:uiPriority w:val="99"/>
    <w:rsid w:val="00893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994"/>
    <w:pPr>
      <w:tabs>
        <w:tab w:val="center" w:pos="4680"/>
        <w:tab w:val="right" w:pos="9360"/>
      </w:tabs>
    </w:pPr>
  </w:style>
  <w:style w:type="character" w:customStyle="1" w:styleId="FooterChar">
    <w:name w:val="Footer Char"/>
    <w:basedOn w:val="DefaultParagraphFont"/>
    <w:link w:val="Footer"/>
    <w:uiPriority w:val="99"/>
    <w:rsid w:val="008939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prenhall.com/bp_berenson_bbs_12/" TargetMode="External"/><Relationship Id="rId3" Type="http://schemas.openxmlformats.org/officeDocument/2006/relationships/settings" Target="settings.xml"/><Relationship Id="rId7" Type="http://schemas.openxmlformats.org/officeDocument/2006/relationships/hyperlink" Target="mailto:bushra.soummakie@antal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SOUMMAKIE</dc:creator>
  <cp:keywords/>
  <dc:description/>
  <cp:lastModifiedBy>Bushra SOUMMAKIE</cp:lastModifiedBy>
  <cp:revision>2</cp:revision>
  <cp:lastPrinted>2018-09-18T05:57:00Z</cp:lastPrinted>
  <dcterms:created xsi:type="dcterms:W3CDTF">2019-09-19T08:47:00Z</dcterms:created>
  <dcterms:modified xsi:type="dcterms:W3CDTF">2019-09-19T08:47:00Z</dcterms:modified>
</cp:coreProperties>
</file>