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9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tbl>
            <w:tblPr>
              <w:tblW w:w="10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9"/>
            </w:tblGrid>
            <w:tr w:rsidR="00404844" w:rsidRPr="008B6B46" w:rsidTr="00445E99">
              <w:trPr>
                <w:trHeight w:val="11740"/>
              </w:trPr>
              <w:tc>
                <w:tcPr>
                  <w:tcW w:w="10959" w:type="dxa"/>
                </w:tcPr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1.AMAÇ</w:t>
                  </w:r>
                </w:p>
                <w:p w:rsidR="00BB263D" w:rsidRPr="007A2979" w:rsidRDefault="00BF32C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="002D2F4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bünyesinde tanımlanmış olan tüm süreçlere ait oluşabilecek risklerin belirlenmesi,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2D2F4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değerlendirilmesi </w:t>
                  </w:r>
                  <w:r w:rsidR="00445E99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v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e önceliği yüksek çıkan riskler</w:t>
                  </w:r>
                  <w:r w:rsidR="002D2F4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için aksiyon planlanmasına ait sistematiği tanımlamak</w:t>
                  </w: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2</w:t>
                  </w: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.KAPSAM</w:t>
                  </w:r>
                </w:p>
                <w:p w:rsidR="002D2F45" w:rsidRPr="007A2979" w:rsidRDefault="00445E99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spellStart"/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="004D3971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’de</w:t>
                  </w:r>
                  <w:proofErr w:type="spellEnd"/>
                  <w:r w:rsidR="00BB263D"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</w:t>
                  </w:r>
                  <w:r w:rsidR="002D2F4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uygulanmakta olan tüm süreçleri kapsar.</w:t>
                  </w:r>
                </w:p>
                <w:p w:rsidR="002D2F45" w:rsidRPr="007A2979" w:rsidRDefault="002D2F45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3.SORUMLULUKLAR</w:t>
                  </w: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</w:t>
                  </w:r>
                  <w:proofErr w:type="gramStart"/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prosedürün</w:t>
                  </w:r>
                  <w:proofErr w:type="gramEnd"/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uygula</w:t>
                  </w:r>
                  <w:r w:rsidR="00445E99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nmasından</w:t>
                  </w: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2D2F4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tüm akademik ve idari personel</w:t>
                  </w: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sorumludur.</w:t>
                  </w: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4.TANIMLAR</w:t>
                  </w:r>
                </w:p>
                <w:p w:rsidR="00BB263D" w:rsidRPr="007A2979" w:rsidRDefault="00D37C94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Risk:</w:t>
                  </w:r>
                  <w:r w:rsidR="00BF32C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</w:t>
                  </w: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Hedeflenen üzerindeki belirsizlik etkisi ya da sapma</w:t>
                  </w:r>
                </w:p>
                <w:p w:rsidR="00D37C94" w:rsidRPr="007A2979" w:rsidRDefault="00D37C94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5.İLGİLİ FORM VE DOKÜMANLAR</w:t>
                  </w:r>
                </w:p>
                <w:p w:rsidR="00B84C04" w:rsidRPr="007A2979" w:rsidRDefault="00445E99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KY-</w:t>
                  </w:r>
                  <w:r w:rsidR="00D37C94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FR-00</w:t>
                  </w:r>
                  <w:r w:rsidR="002F5C3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04</w:t>
                  </w:r>
                  <w:r w:rsidR="00D37C94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Risk Analizi Formu</w:t>
                  </w:r>
                </w:p>
                <w:p w:rsidR="003852C7" w:rsidRPr="007A2979" w:rsidRDefault="00445E99" w:rsidP="00445E99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KY-</w:t>
                  </w:r>
                  <w:r w:rsidR="00D37C94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FR-00</w:t>
                  </w:r>
                  <w:r w:rsidR="002F5C35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29 </w:t>
                  </w:r>
                  <w:r w:rsidR="00D37C94" w:rsidRPr="007A2979">
                    <w:rPr>
                      <w:rFonts w:ascii="Arial Narrow" w:hAnsi="Arial Narrow" w:cs="Arial"/>
                      <w:sz w:val="24"/>
                      <w:szCs w:val="24"/>
                    </w:rPr>
                    <w:t>Risk Analizi Tablosu</w:t>
                  </w:r>
                </w:p>
                <w:p w:rsidR="00B84C04" w:rsidRPr="007A2979" w:rsidRDefault="00B84C04" w:rsidP="00445E99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</w:p>
                <w:p w:rsidR="00BB263D" w:rsidRPr="007A2979" w:rsidRDefault="00BB263D" w:rsidP="00445E99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6. KISALTMALAR</w:t>
                  </w:r>
                </w:p>
                <w:p w:rsidR="00BB263D" w:rsidRPr="007A2979" w:rsidRDefault="00BF2B33" w:rsidP="00445E99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KAO</w:t>
                  </w:r>
                  <w:r w:rsidR="00BB263D"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:</w:t>
                  </w:r>
                  <w:r w:rsidR="00BF32CD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852C7" w:rsidRPr="007A2979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Kalite</w:t>
                  </w:r>
                  <w:r w:rsidR="003852C7"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A2979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Ofisi</w:t>
                  </w:r>
                </w:p>
                <w:p w:rsidR="00BB263D" w:rsidRPr="007A2979" w:rsidRDefault="00BB263D" w:rsidP="00445E99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YGG: </w:t>
                  </w:r>
                  <w:r w:rsidRPr="007A2979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Yönetimin Gözden Geçirmesi</w:t>
                  </w:r>
                </w:p>
                <w:p w:rsidR="00BB263D" w:rsidRPr="007A2979" w:rsidRDefault="00445E99" w:rsidP="00445E99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ABÜ</w:t>
                  </w:r>
                  <w:r w:rsidR="00BB263D" w:rsidRPr="007A297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7A2979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Antalya Bilim Üniversitesi</w:t>
                  </w:r>
                  <w:r w:rsidR="003852C7" w:rsidRPr="007A2979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B263D" w:rsidRPr="007A2979" w:rsidRDefault="00BB263D" w:rsidP="00445E99">
                  <w:pPr>
                    <w:tabs>
                      <w:tab w:val="left" w:pos="426"/>
                      <w:tab w:val="left" w:pos="498"/>
                    </w:tabs>
                    <w:ind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B263D" w:rsidRPr="007A2979" w:rsidRDefault="00D37C94" w:rsidP="00445E99">
                  <w:pPr>
                    <w:tabs>
                      <w:tab w:val="left" w:pos="426"/>
                      <w:tab w:val="left" w:pos="498"/>
                    </w:tabs>
                    <w:ind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      </w:t>
                  </w:r>
                  <w:r w:rsidR="00BB263D" w:rsidRPr="007A2979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7. UYGULAMA</w:t>
                  </w:r>
                </w:p>
                <w:tbl>
                  <w:tblPr>
                    <w:tblW w:w="108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9"/>
                  </w:tblGrid>
                  <w:tr w:rsidR="00257F93" w:rsidRPr="007A2979" w:rsidTr="001C7280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7A2979" w:rsidRDefault="00D37C94" w:rsidP="00445E9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 xml:space="preserve">      </w:t>
                        </w:r>
                        <w:r w:rsidRPr="00BF32CD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>7.1</w:t>
                        </w: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>.</w:t>
                        </w:r>
                        <w:r w:rsidR="00445E99"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 xml:space="preserve">ABÜ’de </w:t>
                        </w:r>
                        <w:r w:rsidR="001C7280"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>tüm süreçlere ait risk analizi hazırlanır.</w:t>
                        </w:r>
                      </w:p>
                      <w:p w:rsidR="001C7280" w:rsidRPr="007A2979" w:rsidRDefault="001C7280" w:rsidP="00445E9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 xml:space="preserve">      7.2.Risk analizi yapmak için aşağıda yer ala </w:t>
                        </w:r>
                        <w:r w:rsidR="00445E99" w:rsidRPr="007A2979">
                          <w:rPr>
                            <w:rFonts w:ascii="Arial Narrow" w:hAnsi="Arial Narrow" w:cs="Tahoma"/>
                            <w:b/>
                            <w:sz w:val="24"/>
                            <w:szCs w:val="24"/>
                          </w:rPr>
                          <w:t>KY-</w:t>
                        </w:r>
                        <w:r w:rsidRPr="007A2979">
                          <w:rPr>
                            <w:rFonts w:ascii="Arial Narrow" w:hAnsi="Arial Narrow" w:cs="Tahoma"/>
                            <w:b/>
                            <w:sz w:val="24"/>
                            <w:szCs w:val="24"/>
                          </w:rPr>
                          <w:t>FR-00</w:t>
                        </w:r>
                        <w:r w:rsidR="002F5C35" w:rsidRPr="007A2979">
                          <w:rPr>
                            <w:rFonts w:ascii="Arial Narrow" w:hAnsi="Arial Narrow" w:cs="Tahoma"/>
                            <w:b/>
                            <w:sz w:val="24"/>
                            <w:szCs w:val="24"/>
                          </w:rPr>
                          <w:t>04</w:t>
                        </w:r>
                        <w:r w:rsidRPr="007A2979">
                          <w:rPr>
                            <w:rFonts w:ascii="Arial Narrow" w:hAnsi="Arial Narrow" w:cs="Tahoma"/>
                            <w:b/>
                            <w:sz w:val="24"/>
                            <w:szCs w:val="24"/>
                          </w:rPr>
                          <w:t xml:space="preserve"> Risk Analizi Formundan</w:t>
                        </w: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 xml:space="preserve"> faydalanılır.</w:t>
                        </w:r>
                      </w:p>
                      <w:p w:rsidR="001C7280" w:rsidRPr="007A2979" w:rsidRDefault="001C7280" w:rsidP="00445E9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 xml:space="preserve">      </w:t>
                        </w:r>
                        <w:r w:rsidRPr="007A2979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0DFDB58" wp14:editId="20AD06C9">
                              <wp:extent cx="6750050" cy="1758950"/>
                              <wp:effectExtent l="0" t="0" r="0" b="0"/>
                              <wp:docPr id="1183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3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0050" cy="1758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7F93" w:rsidRPr="004D3971" w:rsidTr="00883FC9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445E99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  <w:t>7.3.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Olası Risk Türü: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 Bu kısma o sürece ait tüm riskler yukarıdan aşağıya doğru yazılır.</w:t>
                        </w:r>
                      </w:p>
                      <w:p w:rsidR="00445E99" w:rsidRPr="007A2979" w:rsidRDefault="00445E9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="001C7280"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.4.</w:t>
                        </w:r>
                        <w:r w:rsidR="001C7280"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Riskin Olası Etkileri</w:t>
                        </w:r>
                        <w:r w:rsidR="001C7280"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:Bu bölümde belirlenen riskin iç ya da dış müşteride oluşturabileceği tüm etkiler belirlenir.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 Eğer ilgili risk aynı zamanda bir fırsatta yaratıyor ise riski yanına 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(f)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 işareti konulur.</w:t>
                        </w: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7.5.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Şiddet.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Bu bölümde ilgili riskin yaratacağı şiddet puanlanır.Bu derecelendirme yapılırken  şiddet değerlendirme tablosundan faydalanılır.(Tablo-A)</w:t>
                        </w: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TABLO-A</w:t>
                        </w: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1B3E66C1" wp14:editId="36E8E2DD">
                              <wp:extent cx="3557588" cy="3429000"/>
                              <wp:effectExtent l="0" t="0" r="5080" b="0"/>
                              <wp:docPr id="217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70" name="Resi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7588" cy="342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</w:p>
                      <w:p w:rsidR="001C7280" w:rsidRPr="007A2979" w:rsidRDefault="001C7280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7.6.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Riskin Sebebi:</w:t>
                        </w:r>
                        <w:r w:rsidR="00BF32CD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7A2979">
                          <w:rPr>
                            <w:rFonts w:ascii="Arial Narrow" w:eastAsiaTheme="minorEastAsia" w:hAnsi="Arial Narrow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u bölümde belirlenen  riski oluşturan sebepler tanımlanır.ilgili riski oluşturan birden fazla sebep var 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ise;her bir sebep için ayrı ayrı değerlendirme yapmak gerekir.Dolayısı ile her bir sebep ayrı satıra yazılır.</w:t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7.7.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Olasılık: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</w:rPr>
                          <w:t xml:space="preserve"> B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u bölümde belirlenen  riskin gerçekleşme olasılığı derecelendirilir.Bu derecelendirme yapılırken  olasılık değerlendirme tablosundan faydalanılır.</w:t>
                        </w: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TABLO-B</w:t>
                        </w:r>
                      </w:p>
                      <w:p w:rsidR="001C7280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27D541D" wp14:editId="17D1F45D">
                              <wp:extent cx="3423285" cy="3352800"/>
                              <wp:effectExtent l="0" t="0" r="5715" b="0"/>
                              <wp:docPr id="217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71" name="Resim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5328" cy="33548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7.8.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Var Olan Kontoller:</w:t>
                        </w:r>
                        <w:r w:rsidR="00BF32CD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7A2979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u bölümde mevcut riskin keşfedilebilirliğine/yakalanmasına yönelik olarak kurum içinde var olan kontrol yöntemleri mevcut ise bunların tanımlanması sağlanır.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Herhangi bir yöntem mevcut değil ise;keşfedilebilirlik  10 olur.</w:t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7.9.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Keşfedilebilirlik:</w:t>
                        </w:r>
                        <w:r w:rsidR="00BF32CD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7A2979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u bölümde belirlenen  keşfedilebilirlik yönteminin puanlanması sağlanır.bu derecelendirme yapılırken  keşfedilebilirlik değerlendirme tablosundan faydalanılır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.(Tablo-C)</w:t>
                        </w: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F3039" w:rsidRPr="007A2979" w:rsidRDefault="008F303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49642E">
                        <w:pPr>
                          <w:tabs>
                            <w:tab w:val="left" w:pos="426"/>
                            <w:tab w:val="left" w:pos="498"/>
                          </w:tabs>
                          <w:ind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TABLO-C</w:t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E77B122" wp14:editId="00D3579F">
                              <wp:extent cx="1814512" cy="4695825"/>
                              <wp:effectExtent l="0" t="0" r="0" b="0"/>
                              <wp:docPr id="3145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45" name="Resim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4512" cy="469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>7.10.</w:t>
                        </w:r>
                        <w:r w:rsidRPr="007A2979">
                          <w:rPr>
                            <w:rFonts w:ascii="Arial Narrow" w:hAnsi="Arial Narrow"/>
                            <w:b/>
                            <w:noProof/>
                            <w:sz w:val="24"/>
                            <w:szCs w:val="24"/>
                          </w:rPr>
                          <w:t>R</w:t>
                        </w:r>
                        <w:r w:rsidRPr="007A2979">
                          <w:rPr>
                            <w:rFonts w:ascii="Arial Narrow" w:eastAsiaTheme="minorEastAsia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öf</w:t>
                        </w:r>
                        <w:r w:rsidR="008F3039" w:rsidRPr="007A2979">
                          <w:rPr>
                            <w:rFonts w:ascii="Arial Narrow" w:eastAsiaTheme="minorEastAsia" w:hAnsi="Arial Narrow" w:cstheme="minorBidi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(Risk Öncelik Faktörü) =</w:t>
                        </w:r>
                        <w:r w:rsidR="00BF32CD">
                          <w:rPr>
                            <w:rFonts w:ascii="Arial Narrow" w:eastAsiaTheme="minorEastAsia" w:hAnsi="Arial Narrow" w:cstheme="minorBidi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F3039" w:rsidRPr="007A2979">
                          <w:rPr>
                            <w:rFonts w:ascii="Arial Narrow" w:eastAsiaTheme="minorEastAsia" w:hAnsi="Arial Narrow" w:cstheme="minorBidi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Ş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iddetx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O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lasılıkx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Keşfedilebilirlik</w:t>
                        </w:r>
                        <w:proofErr w:type="spellEnd"/>
                      </w:p>
                      <w:p w:rsidR="001C7280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Röf değeri 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100 ve 100 ün üzerinde ise</w:t>
                        </w:r>
                        <w:r w:rsidRPr="007A2979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t xml:space="preserve"> ilgili risk için önleyici faaliyet planlanmalıdır.Röf 100 den küçük ise risk kontrol altındadır ve forma devam edilmez.Ş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iddetin 9 ya da 10 olduğu durumlarda Röf 100 ün altında çıksa bile önleyici faaliyet planlanır yani formun kalan kısmına devam edilir.</w:t>
                        </w:r>
                      </w:p>
                      <w:p w:rsidR="00CC0BA8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proofErr w:type="gramStart"/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7.11.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Önerilen </w:t>
                        </w:r>
                        <w:r w:rsidR="00CC0BA8"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Faaliyetler:</w:t>
                        </w:r>
                        <w:r w:rsidR="00BF32CD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C0BA8" w:rsidRPr="007A2979">
                          <w:rPr>
                            <w:rFonts w:ascii="Arial Narrow" w:eastAsiaTheme="minorEastAsia" w:hAnsi="Arial Narrow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</w:t>
                        </w:r>
                        <w:r w:rsidR="00CC0BA8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öf</w:t>
                        </w:r>
                        <w:proofErr w:type="spellEnd"/>
                        <w:r w:rsidR="00CC0BA8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 xml:space="preserve"> değerine göre önerilen önleyici faaliyetler bu kısımda tanımlanır.planlanan önleyici faaliyetin olasılığı azaltıcı,keşfedilebilirliği  artırıcı yönde olması şarttır.Eğer yapılması gereken önleyici faaliyet üniversitenin sorumluluğunda değil ise (örneğin; müşterinin ya da bir başka paydaşın yapması gereken bir faaliyet gibi ya da kanundaki bir  tanımdan ötürü oluşan bir risk ise;bu kısma katlanılması zorunlu risk/ kabul edilmesi zorunlu risk yazılması forma devam edilmemesi gerekmektedir.</w:t>
                        </w:r>
                        <w:proofErr w:type="gramEnd"/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7.12.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Sorumlu ve Hedef Tamamlanma Tarihi:</w:t>
                        </w:r>
                        <w:r w:rsidR="00BF32CD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7A2979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u kısımda planlanan önleyici faaliyetleri gerçekleştirmekle sorumlu olan kişiler ve hedef tarihler tanımlanır.Bu tarihlerin ilgili faaliyeti gerçekleştirebilmeye imkan sağlayacak şekilde verilmesi önemlidir.</w:t>
                        </w:r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49642E" w:rsidRDefault="0049642E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7.13.</w:t>
                        </w:r>
                        <w:r w:rsidRPr="007A2979">
                          <w:rPr>
                            <w:rFonts w:ascii="Arial Narrow" w:hAnsi="Arial Narrow"/>
                            <w:b/>
                            <w:bCs/>
                            <w:noProof/>
                            <w:sz w:val="24"/>
                            <w:szCs w:val="24"/>
                          </w:rPr>
                          <w:t>Faaliyetlerin Sonuçları :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Bu kısımda gerçekleştirilen yazılır.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S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onrasında yapılan bu faaliyetlerin sonucunda şiddet değeri aynı kalmak koşulu ile yeni olasılık ve keşfedilebilirlik değerleri tespit edilir.Yapılan faaliyetlerin olasılığı azaltacak ve keşfedilebilirliği arttıracak yönde olması önemlidir.</w:t>
                        </w:r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Yeni röf değeri hesaplanmalı ve 100 ‘ün altına inilememişse bu aksiyon yeterli olmamış olarak değerlendirilip, başka  aksiyonlar planlanmalıdır</w:t>
                        </w:r>
                        <w:r w:rsidR="005F55BB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. Risk Analizi Formunda Önleyici Faaliyetler, Sorumlu ve Hedef Tamamlama Tarihi ve Faaliyet Sonuçları başlıkları tekrarlanarak üçüncü RÖF değeri hesaplanmalıdır.</w:t>
                        </w:r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7.14.Swot analizindeki zayıf yönler ve tehditler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 xml:space="preserve"> de 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 xml:space="preserve"> risk olarak ele alınmalıdır.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Bunun haricinde sürecin getirdiği diğer tüm riskler irdelenir.</w:t>
                        </w:r>
                      </w:p>
                      <w:p w:rsidR="00CC0BA8" w:rsidRPr="007A2979" w:rsidRDefault="00CC0BA8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7.1</w:t>
                        </w:r>
                        <w:r w:rsidR="008F3039"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7A2979"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  <w:t xml:space="preserve">.Swot analizindeki güçlü yönler ve fırsatları elde etmek adına bir risk almak durumu söz konusu olur ise bu durumda ilgili risklerin de yukarıda açıklandığı şekilde irdelenmesi sağlanır. </w:t>
                        </w: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:rsidR="00883FC9" w:rsidRPr="007A2979" w:rsidRDefault="00883FC9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left="426" w:right="283"/>
                          <w:jc w:val="both"/>
                          <w:rPr>
                            <w:rFonts w:ascii="Arial Narrow" w:hAnsi="Arial Narrow" w:cs="Arial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257F93" w:rsidRPr="007A2979" w:rsidRDefault="00D37C94" w:rsidP="008F3039">
                        <w:pPr>
                          <w:tabs>
                            <w:tab w:val="left" w:pos="426"/>
                            <w:tab w:val="left" w:pos="498"/>
                          </w:tabs>
                          <w:ind w:right="283"/>
                          <w:jc w:val="both"/>
                          <w:rPr>
                            <w:rStyle w:val="Strong"/>
                            <w:rFonts w:ascii="Arial Narrow" w:hAnsi="Arial Narrow" w:cs="Arial"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Style w:val="Strong"/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     </w:t>
                        </w:r>
                        <w:r w:rsidR="00257F93" w:rsidRPr="007A2979">
                          <w:rPr>
                            <w:rStyle w:val="Strong"/>
                            <w:rFonts w:ascii="Arial Narrow" w:hAnsi="Arial Narrow" w:cs="Arial"/>
                            <w:sz w:val="24"/>
                            <w:szCs w:val="24"/>
                          </w:rPr>
                          <w:t>8.KAYITLAMA VE ARŞİVLEME</w:t>
                        </w:r>
                      </w:p>
                      <w:p w:rsidR="00257F93" w:rsidRPr="004D3971" w:rsidRDefault="00D37C94" w:rsidP="008F303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  <w:r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          </w:t>
                        </w:r>
                        <w:r w:rsidR="00257F93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Bu </w:t>
                        </w:r>
                        <w:proofErr w:type="gramStart"/>
                        <w:r w:rsidR="00257F93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prosedür</w:t>
                        </w:r>
                        <w:proofErr w:type="gramEnd"/>
                        <w:r w:rsidR="00257F93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ve ilgili form/dokümanlar </w:t>
                        </w:r>
                        <w:r w:rsidR="006B3562" w:rsidRPr="007A2979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KY-</w:t>
                        </w:r>
                        <w:r w:rsidR="00257F93" w:rsidRPr="007A2979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PR-0002 Kalite Kayıtlarının Kontrolü Prosedürüne</w:t>
                        </w:r>
                        <w:r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göre kayıtlanır ve </w:t>
                        </w:r>
                        <w:r w:rsidR="008F3039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              </w:t>
                        </w:r>
                        <w:r w:rsidR="00257F93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a</w:t>
                        </w:r>
                        <w:r w:rsidR="008F3039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r</w:t>
                        </w:r>
                        <w:r w:rsidR="00257F93" w:rsidRPr="007A297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şivlenir.</w:t>
                        </w: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8F3039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50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57F93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257F93" w:rsidP="00257F93">
                        <w:pPr>
                          <w:pStyle w:val="Header"/>
                          <w:tabs>
                            <w:tab w:val="left" w:pos="426"/>
                            <w:tab w:val="left" w:pos="498"/>
                            <w:tab w:val="left" w:pos="10348"/>
                          </w:tabs>
                          <w:ind w:right="282"/>
                          <w:jc w:val="both"/>
                          <w:rPr>
                            <w:rFonts w:ascii="Arial Narrow" w:hAnsi="Arial Narrow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57F93" w:rsidRPr="004D3971" w:rsidRDefault="00257F93" w:rsidP="00257F9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257F93" w:rsidP="00257F93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4844" w:rsidRPr="00922089" w:rsidRDefault="00404844" w:rsidP="00404844">
                  <w:pPr>
                    <w:tabs>
                      <w:tab w:val="left" w:pos="540"/>
                      <w:tab w:val="left" w:pos="1080"/>
                    </w:tabs>
                    <w:ind w:left="426" w:right="282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510EE6" w:rsidRPr="00CE2F0E" w:rsidRDefault="00510EE6" w:rsidP="009C4322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</w:pPr>
          </w:p>
        </w:tc>
      </w:tr>
    </w:tbl>
    <w:p w:rsidR="009C4322" w:rsidRDefault="009C4322" w:rsidP="009C4322">
      <w:pPr>
        <w:rPr>
          <w:rFonts w:ascii="Arial Narrow" w:hAnsi="Arial Narrow"/>
        </w:rPr>
      </w:pPr>
    </w:p>
    <w:sectPr w:rsidR="009C4322" w:rsidSect="00690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B" w:rsidRDefault="00D9372B">
      <w:r>
        <w:separator/>
      </w:r>
    </w:p>
  </w:endnote>
  <w:endnote w:type="continuationSeparator" w:id="0">
    <w:p w:rsidR="00D9372B" w:rsidRDefault="00D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6" w:rsidRDefault="00EE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B4" w:rsidRDefault="005646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34"/>
      <w:gridCol w:w="3363"/>
      <w:gridCol w:w="3623"/>
    </w:tblGrid>
    <w:tr w:rsidR="00445E99" w:rsidTr="00AA0AD3">
      <w:trPr>
        <w:trHeight w:val="197"/>
      </w:trPr>
      <w:tc>
        <w:tcPr>
          <w:tcW w:w="3710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445E99" w:rsidRPr="00CB4EC0" w:rsidRDefault="00445E99" w:rsidP="00445E99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445E99" w:rsidTr="00AA0AD3">
      <w:tc>
        <w:tcPr>
          <w:tcW w:w="3710" w:type="dxa"/>
          <w:shd w:val="clear" w:color="auto" w:fill="auto"/>
        </w:tcPr>
        <w:p w:rsidR="00445E99" w:rsidRDefault="00445E99" w:rsidP="00445E99">
          <w:pPr>
            <w:pStyle w:val="AltBilgi"/>
            <w:jc w:val="center"/>
          </w:pPr>
          <w:r>
            <w:t>Şafak GÜR</w:t>
          </w:r>
        </w:p>
      </w:tc>
      <w:tc>
        <w:tcPr>
          <w:tcW w:w="3426" w:type="dxa"/>
          <w:shd w:val="clear" w:color="auto" w:fill="auto"/>
        </w:tcPr>
        <w:p w:rsidR="00445E99" w:rsidRDefault="00445E99" w:rsidP="00445E99">
          <w:pPr>
            <w:pStyle w:val="AltBilgi"/>
            <w:jc w:val="center"/>
          </w:pPr>
          <w:proofErr w:type="spellStart"/>
          <w:proofErr w:type="gramStart"/>
          <w:r>
            <w:t>Prof.Dr.İsmail</w:t>
          </w:r>
          <w:proofErr w:type="spellEnd"/>
          <w:proofErr w:type="gramEnd"/>
          <w:r>
            <w:t xml:space="preserve"> YÜKSEK</w:t>
          </w:r>
        </w:p>
        <w:p w:rsidR="00445E99" w:rsidRDefault="00445E99" w:rsidP="00445E99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445E99" w:rsidRDefault="00445E99" w:rsidP="00445E99">
          <w:pPr>
            <w:pStyle w:val="AltBilgi"/>
            <w:jc w:val="center"/>
          </w:pPr>
          <w:r>
            <w:t>Şafak GÜR</w:t>
          </w:r>
        </w:p>
        <w:p w:rsidR="00445E99" w:rsidRDefault="00445E99" w:rsidP="00445E99">
          <w:pPr>
            <w:pStyle w:val="AltBilgi"/>
            <w:jc w:val="center"/>
          </w:pPr>
        </w:p>
        <w:p w:rsidR="00445E99" w:rsidRDefault="00445E99" w:rsidP="00445E99">
          <w:pPr>
            <w:pStyle w:val="AltBilgi"/>
            <w:jc w:val="center"/>
          </w:pPr>
        </w:p>
      </w:tc>
    </w:tr>
  </w:tbl>
  <w:p w:rsidR="00445E99" w:rsidRPr="009C4322" w:rsidRDefault="00EE5CA6" w:rsidP="00445E99">
    <w:pPr>
      <w:pStyle w:val="AltBilgi"/>
      <w:rPr>
        <w:sz w:val="16"/>
      </w:rPr>
    </w:pPr>
    <w:r>
      <w:rPr>
        <w:sz w:val="16"/>
      </w:rPr>
      <w:t xml:space="preserve">Form </w:t>
    </w:r>
    <w:proofErr w:type="gramStart"/>
    <w:r>
      <w:rPr>
        <w:sz w:val="16"/>
      </w:rPr>
      <w:t>No:KY</w:t>
    </w:r>
    <w:proofErr w:type="gramEnd"/>
    <w:r>
      <w:rPr>
        <w:sz w:val="16"/>
      </w:rPr>
      <w:t>-FR-0027</w:t>
    </w:r>
    <w:r w:rsidR="00445E99" w:rsidRPr="00E73DF1">
      <w:rPr>
        <w:sz w:val="16"/>
      </w:rPr>
      <w:t xml:space="preserve"> Yayın Tarihi:27.08.2018 Değ.No:0 Değ. Tarihi:-</w:t>
    </w:r>
  </w:p>
  <w:p w:rsidR="007D2161" w:rsidRDefault="00445E99" w:rsidP="009C4322">
    <w:pPr>
      <w:pStyle w:val="AltBilgi"/>
      <w:rPr>
        <w:sz w:val="16"/>
      </w:rPr>
    </w:pP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EE5CA6">
      <w:rPr>
        <w:noProof/>
        <w:sz w:val="16"/>
      </w:rPr>
      <w:t>1</w:t>
    </w:r>
    <w:r w:rsidRPr="0080475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6" w:rsidRDefault="00EE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B" w:rsidRDefault="00D9372B">
      <w:r>
        <w:separator/>
      </w:r>
    </w:p>
  </w:footnote>
  <w:footnote w:type="continuationSeparator" w:id="0">
    <w:p w:rsidR="00D9372B" w:rsidRDefault="00D9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6" w:rsidRDefault="00EE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3"/>
      <w:gridCol w:w="4517"/>
      <w:gridCol w:w="1574"/>
      <w:gridCol w:w="1406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</w:p>
        <w:p w:rsidR="00B97370" w:rsidRPr="004C4F87" w:rsidRDefault="00445E99" w:rsidP="00413CEB">
          <w:pPr>
            <w:jc w:val="center"/>
            <w:rPr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1E0C86" wp14:editId="56D36D36">
                <wp:extent cx="1970415" cy="638175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632" cy="63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</w:t>
          </w:r>
          <w:bookmarkStart w:id="0" w:name="_GoBack"/>
          <w:bookmarkEnd w:id="0"/>
          <w:r w:rsidRPr="007064E7">
            <w:rPr>
              <w:rFonts w:ascii="Arial Narrow" w:hAnsi="Arial Narrow"/>
              <w:b/>
              <w:sz w:val="36"/>
              <w:szCs w:val="36"/>
            </w:rPr>
            <w:t>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2F5C35" w:rsidP="00445E99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KY-</w:t>
          </w:r>
          <w:r w:rsidR="00510CC6">
            <w:rPr>
              <w:rFonts w:ascii="Arial Narrow" w:hAnsi="Arial Narrow"/>
              <w:sz w:val="24"/>
              <w:szCs w:val="24"/>
            </w:rPr>
            <w:t>PR-00</w:t>
          </w:r>
          <w:r w:rsidR="004D3971">
            <w:rPr>
              <w:rFonts w:ascii="Arial Narrow" w:hAnsi="Arial Narrow"/>
              <w:sz w:val="24"/>
              <w:szCs w:val="24"/>
            </w:rPr>
            <w:t>0</w:t>
          </w:r>
          <w:r w:rsidR="00445E99">
            <w:rPr>
              <w:rFonts w:ascii="Arial Narrow" w:hAnsi="Arial Narrow"/>
              <w:sz w:val="24"/>
              <w:szCs w:val="24"/>
            </w:rPr>
            <w:t>6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445E99" w:rsidP="005F7375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27.08.2018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D37C94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RİSKLERİN YÖNETİMİ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445E99" w:rsidP="00012FC6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0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  <w:proofErr w:type="gramEnd"/>
        </w:p>
      </w:tc>
      <w:tc>
        <w:tcPr>
          <w:tcW w:w="1440" w:type="dxa"/>
          <w:vAlign w:val="center"/>
        </w:tcPr>
        <w:p w:rsidR="0036636C" w:rsidRPr="006713B6" w:rsidRDefault="00DD3012" w:rsidP="00CE2F0E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-</w:t>
          </w:r>
        </w:p>
      </w:tc>
    </w:tr>
  </w:tbl>
  <w:p w:rsidR="00BA25D5" w:rsidRDefault="00BA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6" w:rsidRDefault="00EE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40B68"/>
    <w:rsid w:val="00043CB6"/>
    <w:rsid w:val="000538F0"/>
    <w:rsid w:val="0005455A"/>
    <w:rsid w:val="000710B0"/>
    <w:rsid w:val="00071F10"/>
    <w:rsid w:val="00075A1E"/>
    <w:rsid w:val="000800EB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584"/>
    <w:rsid w:val="00156988"/>
    <w:rsid w:val="00156DCE"/>
    <w:rsid w:val="00164E74"/>
    <w:rsid w:val="00176B85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C7280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48C2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6272"/>
    <w:rsid w:val="002D112F"/>
    <w:rsid w:val="002D2F45"/>
    <w:rsid w:val="002D6DD9"/>
    <w:rsid w:val="002E15C0"/>
    <w:rsid w:val="002F5C35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3845"/>
    <w:rsid w:val="003B2BE2"/>
    <w:rsid w:val="003C267E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45E99"/>
    <w:rsid w:val="0045050C"/>
    <w:rsid w:val="004556A4"/>
    <w:rsid w:val="0045736E"/>
    <w:rsid w:val="004773B2"/>
    <w:rsid w:val="00480B80"/>
    <w:rsid w:val="0048287D"/>
    <w:rsid w:val="0049642E"/>
    <w:rsid w:val="004A2B58"/>
    <w:rsid w:val="004A5A31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21887"/>
    <w:rsid w:val="0052312F"/>
    <w:rsid w:val="0052593B"/>
    <w:rsid w:val="00525C8B"/>
    <w:rsid w:val="0053197C"/>
    <w:rsid w:val="00532AF3"/>
    <w:rsid w:val="00535E78"/>
    <w:rsid w:val="00540DB8"/>
    <w:rsid w:val="005414D2"/>
    <w:rsid w:val="00541D9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107"/>
    <w:rsid w:val="005F0CB1"/>
    <w:rsid w:val="005F36EC"/>
    <w:rsid w:val="005F47AC"/>
    <w:rsid w:val="005F55BB"/>
    <w:rsid w:val="005F7375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B02FC"/>
    <w:rsid w:val="006B3410"/>
    <w:rsid w:val="006B3562"/>
    <w:rsid w:val="006B592F"/>
    <w:rsid w:val="006C06B7"/>
    <w:rsid w:val="006C16F4"/>
    <w:rsid w:val="006C47F7"/>
    <w:rsid w:val="006C6837"/>
    <w:rsid w:val="006C6DE1"/>
    <w:rsid w:val="006D6712"/>
    <w:rsid w:val="006E41F4"/>
    <w:rsid w:val="006F4305"/>
    <w:rsid w:val="006F6AFF"/>
    <w:rsid w:val="00701A33"/>
    <w:rsid w:val="0070437F"/>
    <w:rsid w:val="007064E7"/>
    <w:rsid w:val="00712049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A2979"/>
    <w:rsid w:val="007B5F58"/>
    <w:rsid w:val="007C1604"/>
    <w:rsid w:val="007C2185"/>
    <w:rsid w:val="007C2DB8"/>
    <w:rsid w:val="007C349F"/>
    <w:rsid w:val="007C4276"/>
    <w:rsid w:val="007C5271"/>
    <w:rsid w:val="007D032B"/>
    <w:rsid w:val="007D2161"/>
    <w:rsid w:val="007D5EEE"/>
    <w:rsid w:val="007D63CE"/>
    <w:rsid w:val="007E7866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3FC9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F3039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8131D"/>
    <w:rsid w:val="00991BC7"/>
    <w:rsid w:val="009922E3"/>
    <w:rsid w:val="009930CE"/>
    <w:rsid w:val="009961CE"/>
    <w:rsid w:val="009A31EB"/>
    <w:rsid w:val="009A70EC"/>
    <w:rsid w:val="009B4A1B"/>
    <w:rsid w:val="009C404A"/>
    <w:rsid w:val="009C4322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6B2B"/>
    <w:rsid w:val="00BF01C3"/>
    <w:rsid w:val="00BF117F"/>
    <w:rsid w:val="00BF2144"/>
    <w:rsid w:val="00BF2B33"/>
    <w:rsid w:val="00BF32CD"/>
    <w:rsid w:val="00BF5A75"/>
    <w:rsid w:val="00C114D5"/>
    <w:rsid w:val="00C20570"/>
    <w:rsid w:val="00C21DEE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B3240"/>
    <w:rsid w:val="00CB4EC0"/>
    <w:rsid w:val="00CB7AAE"/>
    <w:rsid w:val="00CC0BA8"/>
    <w:rsid w:val="00CC5943"/>
    <w:rsid w:val="00CE2F0E"/>
    <w:rsid w:val="00CE62B6"/>
    <w:rsid w:val="00CF2055"/>
    <w:rsid w:val="00D070D2"/>
    <w:rsid w:val="00D07B53"/>
    <w:rsid w:val="00D12C82"/>
    <w:rsid w:val="00D202C1"/>
    <w:rsid w:val="00D3360B"/>
    <w:rsid w:val="00D33977"/>
    <w:rsid w:val="00D37C94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372B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63230"/>
    <w:rsid w:val="00E703CE"/>
    <w:rsid w:val="00E73DF1"/>
    <w:rsid w:val="00E77C08"/>
    <w:rsid w:val="00E82541"/>
    <w:rsid w:val="00E940C1"/>
    <w:rsid w:val="00EA18F8"/>
    <w:rsid w:val="00EC326F"/>
    <w:rsid w:val="00EC78E3"/>
    <w:rsid w:val="00EC7E99"/>
    <w:rsid w:val="00ED4AD0"/>
    <w:rsid w:val="00EE4D8C"/>
    <w:rsid w:val="00EE5CA6"/>
    <w:rsid w:val="00EE7867"/>
    <w:rsid w:val="00EF1222"/>
    <w:rsid w:val="00EF1FA7"/>
    <w:rsid w:val="00EF3CD9"/>
    <w:rsid w:val="00EF6FE4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F04920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5B637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64E74"/>
    <w:rPr>
      <w:b/>
      <w:bCs/>
    </w:rPr>
  </w:style>
  <w:style w:type="paragraph" w:customStyle="1" w:styleId="AltBilgi">
    <w:name w:val="Alt Bilgi"/>
    <w:basedOn w:val="Normal"/>
    <w:link w:val="AltBilgiChar"/>
    <w:uiPriority w:val="99"/>
    <w:rsid w:val="00445E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45E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C851-B985-4179-BA44-3C6519AC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513</Words>
  <Characters>3931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Şafak Gür</cp:lastModifiedBy>
  <cp:revision>16</cp:revision>
  <cp:lastPrinted>2010-03-19T13:01:00Z</cp:lastPrinted>
  <dcterms:created xsi:type="dcterms:W3CDTF">2018-07-16T08:17:00Z</dcterms:created>
  <dcterms:modified xsi:type="dcterms:W3CDTF">2019-09-23T06:21:00Z</dcterms:modified>
</cp:coreProperties>
</file>